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70EED" w14:textId="77777777" w:rsidR="00FE6943" w:rsidRPr="005874EB" w:rsidRDefault="00894D6B" w:rsidP="00FE6943">
      <w:pPr>
        <w:pStyle w:val="MDPI11articletype"/>
        <w:rPr>
          <w:lang w:val="es-ES"/>
        </w:rPr>
      </w:pPr>
      <w:r w:rsidRPr="005874EB">
        <w:rPr>
          <w:lang w:val="es-ES"/>
        </w:rPr>
        <w:t>Artículo de revisión</w:t>
      </w:r>
    </w:p>
    <w:p w14:paraId="40E47549" w14:textId="77777777" w:rsidR="00FE6943" w:rsidRPr="00BE50A3" w:rsidRDefault="0017489D" w:rsidP="00FE6943">
      <w:pPr>
        <w:pStyle w:val="MDPI12title"/>
        <w:rPr>
          <w:sz w:val="52"/>
          <w:lang w:val="es-ES"/>
        </w:rPr>
      </w:pPr>
      <w:r w:rsidRPr="00BE50A3">
        <w:rPr>
          <w:sz w:val="52"/>
          <w:lang w:val="es-ES"/>
        </w:rPr>
        <w:t>Lesiones irreparables de</w:t>
      </w:r>
      <w:r w:rsidR="00894D6B" w:rsidRPr="00BE50A3">
        <w:rPr>
          <w:sz w:val="52"/>
          <w:lang w:val="es-ES"/>
        </w:rPr>
        <w:t xml:space="preserve"> manguito rotador</w:t>
      </w:r>
      <w:r w:rsidRPr="00BE50A3">
        <w:rPr>
          <w:sz w:val="52"/>
          <w:lang w:val="es-ES"/>
        </w:rPr>
        <w:t>: opciones</w:t>
      </w:r>
      <w:r w:rsidR="00BE50A3" w:rsidRPr="00BE50A3">
        <w:rPr>
          <w:sz w:val="52"/>
          <w:lang w:val="es-ES"/>
        </w:rPr>
        <w:t xml:space="preserve"> quirúrgicas</w:t>
      </w:r>
      <w:r w:rsidRPr="00BE50A3">
        <w:rPr>
          <w:sz w:val="52"/>
          <w:lang w:val="es-ES"/>
        </w:rPr>
        <w:t xml:space="preserve"> de tratamiento</w:t>
      </w:r>
    </w:p>
    <w:p w14:paraId="17744D89" w14:textId="77777777" w:rsidR="00894D6B" w:rsidRPr="005874EB" w:rsidRDefault="00894D6B" w:rsidP="00894D6B">
      <w:pPr>
        <w:pStyle w:val="MDPI13authornames"/>
        <w:rPr>
          <w:lang w:val="es-ES"/>
        </w:rPr>
      </w:pPr>
      <w:r w:rsidRPr="005874EB">
        <w:rPr>
          <w:lang w:val="es-ES"/>
        </w:rPr>
        <w:t>Mayorga Naranjo, David</w:t>
      </w:r>
      <w:r w:rsidRPr="005874EB">
        <w:rPr>
          <w:vertAlign w:val="superscript"/>
          <w:lang w:val="es-ES"/>
        </w:rPr>
        <w:t>1</w:t>
      </w:r>
      <w:r w:rsidRPr="005874EB">
        <w:rPr>
          <w:lang w:val="es-ES"/>
        </w:rPr>
        <w:t>*; Aroca Navarro, José Enrique</w:t>
      </w:r>
      <w:r w:rsidRPr="005874EB">
        <w:rPr>
          <w:vertAlign w:val="superscript"/>
          <w:lang w:val="es-ES"/>
        </w:rPr>
        <w:t>2</w:t>
      </w:r>
      <w:r w:rsidRPr="005874EB">
        <w:rPr>
          <w:lang w:val="es-ES"/>
        </w:rPr>
        <w:t>.</w:t>
      </w:r>
    </w:p>
    <w:p w14:paraId="63CF3657" w14:textId="77777777" w:rsidR="00894D6B" w:rsidRPr="005874EB" w:rsidRDefault="00894D6B" w:rsidP="00894D6B">
      <w:pPr>
        <w:pStyle w:val="MDPI16affiliation"/>
        <w:rPr>
          <w:lang w:val="es-ES"/>
        </w:rPr>
      </w:pPr>
      <w:r w:rsidRPr="005874EB">
        <w:rPr>
          <w:vertAlign w:val="superscript"/>
          <w:lang w:val="es-ES"/>
        </w:rPr>
        <w:t>1</w:t>
      </w:r>
      <w:r w:rsidRPr="005874EB">
        <w:rPr>
          <w:lang w:val="es-ES"/>
        </w:rPr>
        <w:t>*</w:t>
      </w:r>
      <w:r w:rsidRPr="005874EB">
        <w:rPr>
          <w:lang w:val="es-ES"/>
        </w:rPr>
        <w:tab/>
        <w:t xml:space="preserve">Correspondencia: </w:t>
      </w:r>
      <w:hyperlink r:id="rId8" w:history="1">
        <w:r w:rsidRPr="005874EB">
          <w:rPr>
            <w:rStyle w:val="Hipervnculo"/>
            <w:lang w:val="es-ES"/>
          </w:rPr>
          <w:t>drdavidmayorga@gmail.com</w:t>
        </w:r>
      </w:hyperlink>
    </w:p>
    <w:p w14:paraId="1F64A2F1" w14:textId="77777777" w:rsidR="00894D6B" w:rsidRPr="005874EB" w:rsidRDefault="00894D6B" w:rsidP="00894D6B">
      <w:pPr>
        <w:pStyle w:val="MDPI16affiliation"/>
        <w:rPr>
          <w:lang w:val="es-ES"/>
        </w:rPr>
      </w:pPr>
      <w:r w:rsidRPr="005874EB">
        <w:rPr>
          <w:vertAlign w:val="superscript"/>
          <w:lang w:val="es-ES"/>
        </w:rPr>
        <w:t>1,2</w:t>
      </w:r>
      <w:r w:rsidRPr="005874EB">
        <w:rPr>
          <w:lang w:val="es-ES"/>
        </w:rPr>
        <w:t xml:space="preserve">  Servicio de Cirugía Ortopédica y Traumatología, Hospital Universitario y Politécnico La Fe de </w:t>
      </w:r>
    </w:p>
    <w:p w14:paraId="72CBAA46" w14:textId="77777777" w:rsidR="00894D6B" w:rsidRPr="005874EB" w:rsidRDefault="00894D6B" w:rsidP="00894D6B">
      <w:pPr>
        <w:pStyle w:val="MDPI16affiliation"/>
        <w:rPr>
          <w:lang w:val="es-ES"/>
        </w:rPr>
      </w:pPr>
      <w:r w:rsidRPr="005874EB">
        <w:rPr>
          <w:lang w:val="es-ES"/>
        </w:rPr>
        <w:t>Valencia.</w:t>
      </w:r>
      <w:r w:rsidRPr="005874EB">
        <w:rPr>
          <w:lang w:val="es-ES"/>
        </w:rPr>
        <w:tab/>
      </w:r>
    </w:p>
    <w:p w14:paraId="0A503E83" w14:textId="77777777" w:rsidR="00FE6943" w:rsidRPr="005874EB" w:rsidRDefault="00CA43C3" w:rsidP="00FE6943">
      <w:pPr>
        <w:pStyle w:val="MDPI17abstract"/>
        <w:rPr>
          <w:szCs w:val="18"/>
          <w:lang w:val="es-ES"/>
        </w:rPr>
      </w:pPr>
      <w:r w:rsidRPr="005874EB">
        <w:rPr>
          <w:b/>
          <w:szCs w:val="18"/>
          <w:lang w:val="es-ES"/>
        </w:rPr>
        <w:t>Resumen</w:t>
      </w:r>
      <w:r w:rsidR="00FE6943" w:rsidRPr="005874EB">
        <w:rPr>
          <w:b/>
          <w:szCs w:val="18"/>
          <w:lang w:val="es-ES"/>
        </w:rPr>
        <w:t>:</w:t>
      </w:r>
      <w:r w:rsidRPr="005874EB">
        <w:rPr>
          <w:b/>
          <w:szCs w:val="18"/>
          <w:lang w:val="es-ES"/>
        </w:rPr>
        <w:t xml:space="preserve"> </w:t>
      </w:r>
      <w:r w:rsidRPr="005874EB">
        <w:rPr>
          <w:szCs w:val="18"/>
          <w:lang w:val="es-ES"/>
        </w:rPr>
        <w:t>La irreparabilidad de una rotura del mangu</w:t>
      </w:r>
      <w:r w:rsidR="00016CD8">
        <w:rPr>
          <w:szCs w:val="18"/>
          <w:lang w:val="es-ES"/>
        </w:rPr>
        <w:t>i</w:t>
      </w:r>
      <w:r w:rsidRPr="005874EB">
        <w:rPr>
          <w:szCs w:val="18"/>
          <w:lang w:val="es-ES"/>
        </w:rPr>
        <w:t xml:space="preserve">to rotador no está condicionada solo por la incapacidad de suturar esta misma de manera quirúrgica, sino por la tasa de fracaso que tendrá esta reparación en caso de poder realizarse. El factor pronóstico más importante será la infiltración grasa del músculo, definida por la clasificación de Goutallier. Dentro de los tratamientos, tenemos que distinguir </w:t>
      </w:r>
      <w:r w:rsidR="00375066">
        <w:rPr>
          <w:szCs w:val="18"/>
          <w:lang w:val="es-ES"/>
        </w:rPr>
        <w:t xml:space="preserve">dos tipos: </w:t>
      </w:r>
      <w:r w:rsidRPr="005874EB">
        <w:rPr>
          <w:szCs w:val="18"/>
          <w:lang w:val="es-ES"/>
        </w:rPr>
        <w:t>aquellos que no han demostrado resultados favorable</w:t>
      </w:r>
      <w:r w:rsidR="003B4823" w:rsidRPr="005874EB">
        <w:rPr>
          <w:szCs w:val="18"/>
          <w:lang w:val="es-ES"/>
        </w:rPr>
        <w:t>s</w:t>
      </w:r>
      <w:r w:rsidRPr="005874EB">
        <w:rPr>
          <w:szCs w:val="18"/>
          <w:lang w:val="es-ES"/>
        </w:rPr>
        <w:t xml:space="preserve"> a largo plazo de manera aislada, </w:t>
      </w:r>
      <w:r w:rsidR="003B4823" w:rsidRPr="005874EB">
        <w:rPr>
          <w:szCs w:val="18"/>
          <w:lang w:val="es-ES"/>
        </w:rPr>
        <w:t xml:space="preserve">utilizados para paliar síntomas a corto plazo, </w:t>
      </w:r>
      <w:r w:rsidRPr="005874EB">
        <w:rPr>
          <w:szCs w:val="18"/>
          <w:lang w:val="es-ES"/>
        </w:rPr>
        <w:t>como son la limpieza y desbridamiento artroscópicos, la teno</w:t>
      </w:r>
      <w:r w:rsidR="003B4823" w:rsidRPr="005874EB">
        <w:rPr>
          <w:szCs w:val="18"/>
          <w:lang w:val="es-ES"/>
        </w:rPr>
        <w:t>tomía y tenodesis de la porció</w:t>
      </w:r>
      <w:r w:rsidRPr="005874EB">
        <w:rPr>
          <w:szCs w:val="18"/>
          <w:lang w:val="es-ES"/>
        </w:rPr>
        <w:t>n larga del</w:t>
      </w:r>
      <w:r w:rsidR="003B4823" w:rsidRPr="005874EB">
        <w:rPr>
          <w:szCs w:val="18"/>
          <w:lang w:val="es-ES"/>
        </w:rPr>
        <w:t xml:space="preserve"> </w:t>
      </w:r>
      <w:r w:rsidR="00016CD8" w:rsidRPr="005874EB">
        <w:rPr>
          <w:szCs w:val="18"/>
          <w:lang w:val="es-ES"/>
        </w:rPr>
        <w:t>bíceps</w:t>
      </w:r>
      <w:r w:rsidR="003B4823" w:rsidRPr="005874EB">
        <w:rPr>
          <w:szCs w:val="18"/>
          <w:lang w:val="es-ES"/>
        </w:rPr>
        <w:t xml:space="preserve"> y el balón subacromial; </w:t>
      </w:r>
      <w:r w:rsidRPr="005874EB">
        <w:rPr>
          <w:szCs w:val="18"/>
          <w:lang w:val="es-ES"/>
        </w:rPr>
        <w:t xml:space="preserve">y aquellos que sí que muestran resultados positivos a largo plazo y se utilizarán en </w:t>
      </w:r>
      <w:r w:rsidR="00016CD8">
        <w:rPr>
          <w:szCs w:val="18"/>
          <w:lang w:val="es-ES"/>
        </w:rPr>
        <w:t>pacientes con alta demanda func</w:t>
      </w:r>
      <w:r w:rsidRPr="005874EB">
        <w:rPr>
          <w:szCs w:val="18"/>
          <w:lang w:val="es-ES"/>
        </w:rPr>
        <w:t>ional, en los cuales queramos ser más ambiciosos con nuestro tratamiento. Dentro de estos</w:t>
      </w:r>
      <w:r w:rsidR="003B4823" w:rsidRPr="005874EB">
        <w:rPr>
          <w:szCs w:val="18"/>
          <w:lang w:val="es-ES"/>
        </w:rPr>
        <w:t xml:space="preserve"> últimos</w:t>
      </w:r>
      <w:r w:rsidRPr="005874EB">
        <w:rPr>
          <w:szCs w:val="18"/>
          <w:lang w:val="es-ES"/>
        </w:rPr>
        <w:t>, distinguiremos aquellos pacientes con una artropatía Hamad</w:t>
      </w:r>
      <w:r w:rsidR="003B4823" w:rsidRPr="005874EB">
        <w:rPr>
          <w:szCs w:val="18"/>
          <w:lang w:val="es-ES"/>
        </w:rPr>
        <w:t>a 1 o 2, en los cuales propondr</w:t>
      </w:r>
      <w:r w:rsidRPr="005874EB">
        <w:rPr>
          <w:szCs w:val="18"/>
          <w:lang w:val="es-ES"/>
        </w:rPr>
        <w:t>e</w:t>
      </w:r>
      <w:r w:rsidR="003B4823" w:rsidRPr="005874EB">
        <w:rPr>
          <w:szCs w:val="18"/>
          <w:lang w:val="es-ES"/>
        </w:rPr>
        <w:t>m</w:t>
      </w:r>
      <w:r w:rsidRPr="005874EB">
        <w:rPr>
          <w:szCs w:val="18"/>
          <w:lang w:val="es-ES"/>
        </w:rPr>
        <w:t>os la reconstrucción de la cápsula superior</w:t>
      </w:r>
      <w:r w:rsidR="003B4823" w:rsidRPr="005874EB">
        <w:rPr>
          <w:szCs w:val="18"/>
          <w:lang w:val="es-ES"/>
        </w:rPr>
        <w:t xml:space="preserve"> o las trasferencias tendinosas;</w:t>
      </w:r>
      <w:r w:rsidRPr="005874EB">
        <w:rPr>
          <w:szCs w:val="18"/>
          <w:lang w:val="es-ES"/>
        </w:rPr>
        <w:t xml:space="preserve"> y aquellos Hamada 3 o mayor, que tengan una edad de 65 </w:t>
      </w:r>
      <w:r w:rsidR="003B4823" w:rsidRPr="005874EB">
        <w:rPr>
          <w:szCs w:val="18"/>
          <w:lang w:val="es-ES"/>
        </w:rPr>
        <w:t>años o más</w:t>
      </w:r>
      <w:r w:rsidRPr="005874EB">
        <w:rPr>
          <w:szCs w:val="18"/>
          <w:lang w:val="es-ES"/>
        </w:rPr>
        <w:t>, o que tengan un hombro pseudoparalítico, en los cuales la prótesis invertida será nuestro tratamiento de elección.</w:t>
      </w:r>
      <w:r w:rsidRPr="005874EB">
        <w:rPr>
          <w:b/>
          <w:szCs w:val="18"/>
          <w:lang w:val="es-ES"/>
        </w:rPr>
        <w:t xml:space="preserve"> </w:t>
      </w:r>
      <w:r w:rsidR="00FE6943" w:rsidRPr="005874EB">
        <w:rPr>
          <w:b/>
          <w:szCs w:val="18"/>
          <w:lang w:val="es-ES"/>
        </w:rPr>
        <w:t xml:space="preserve"> </w:t>
      </w:r>
    </w:p>
    <w:p w14:paraId="437ADD77" w14:textId="70B6BC48" w:rsidR="00FE6943" w:rsidRPr="005874EB" w:rsidRDefault="00CA43C3" w:rsidP="00FE6943">
      <w:pPr>
        <w:pStyle w:val="MDPI18keywords"/>
        <w:rPr>
          <w:szCs w:val="18"/>
          <w:lang w:val="es-ES"/>
        </w:rPr>
      </w:pPr>
      <w:r w:rsidRPr="005874EB">
        <w:rPr>
          <w:b/>
          <w:szCs w:val="18"/>
          <w:lang w:val="es-ES"/>
        </w:rPr>
        <w:t>Palabras clave</w:t>
      </w:r>
      <w:r w:rsidR="00FE6943" w:rsidRPr="005874EB">
        <w:rPr>
          <w:b/>
          <w:szCs w:val="18"/>
          <w:lang w:val="es-ES"/>
        </w:rPr>
        <w:t xml:space="preserve">: </w:t>
      </w:r>
      <w:r w:rsidRPr="005874EB">
        <w:rPr>
          <w:szCs w:val="18"/>
          <w:lang w:val="es-ES"/>
        </w:rPr>
        <w:t>rotura irreparable, manguito rotador, artropatía glenohumeral</w:t>
      </w:r>
      <w:r w:rsidR="0086647D">
        <w:rPr>
          <w:szCs w:val="18"/>
          <w:lang w:val="es-ES"/>
        </w:rPr>
        <w:t>.</w:t>
      </w:r>
      <w:r w:rsidRPr="005874EB">
        <w:rPr>
          <w:b/>
          <w:szCs w:val="18"/>
          <w:lang w:val="es-ES"/>
        </w:rPr>
        <w:t xml:space="preserve"> </w:t>
      </w:r>
    </w:p>
    <w:p w14:paraId="5B8EE8B5" w14:textId="77777777" w:rsidR="00FE6943" w:rsidRPr="005874EB" w:rsidRDefault="00FE6943" w:rsidP="00FE6943">
      <w:pPr>
        <w:pStyle w:val="MDPI19line"/>
        <w:rPr>
          <w:lang w:val="es-ES"/>
        </w:rPr>
      </w:pPr>
    </w:p>
    <w:p w14:paraId="148256BA" w14:textId="77777777" w:rsidR="00FE6943" w:rsidRPr="005874EB" w:rsidRDefault="00FE6943" w:rsidP="00DF2EEA">
      <w:pPr>
        <w:pStyle w:val="MDPI21heading1"/>
        <w:ind w:left="0"/>
        <w:rPr>
          <w:sz w:val="2"/>
          <w:lang w:val="es-ES" w:eastAsia="zh-CN"/>
        </w:rPr>
      </w:pPr>
    </w:p>
    <w:tbl>
      <w:tblPr>
        <w:tblpPr w:leftFromText="198" w:rightFromText="198" w:vertAnchor="page" w:horzAnchor="margin" w:tblpY="9721"/>
        <w:tblW w:w="2410" w:type="dxa"/>
        <w:tblLayout w:type="fixed"/>
        <w:tblCellMar>
          <w:left w:w="0" w:type="dxa"/>
          <w:right w:w="0" w:type="dxa"/>
        </w:tblCellMar>
        <w:tblLook w:val="04A0" w:firstRow="1" w:lastRow="0" w:firstColumn="1" w:lastColumn="0" w:noHBand="0" w:noVBand="1"/>
      </w:tblPr>
      <w:tblGrid>
        <w:gridCol w:w="2410"/>
      </w:tblGrid>
      <w:tr w:rsidR="00D03F63" w:rsidRPr="005874EB" w14:paraId="0E21F345" w14:textId="77777777" w:rsidTr="00D03F63">
        <w:tc>
          <w:tcPr>
            <w:tcW w:w="2410" w:type="dxa"/>
            <w:shd w:val="clear" w:color="auto" w:fill="auto"/>
          </w:tcPr>
          <w:p w14:paraId="6745D16B" w14:textId="77777777" w:rsidR="00D03F63" w:rsidRPr="005874EB" w:rsidRDefault="00D03F63" w:rsidP="00D03F63">
            <w:pPr>
              <w:pStyle w:val="MDPI14history"/>
              <w:spacing w:before="240"/>
              <w:rPr>
                <w:rFonts w:ascii="SimSun" w:eastAsia="SimSun" w:hAnsi="SimSun" w:cs="SimSun"/>
                <w:lang w:val="es-ES" w:eastAsia="zh-CN"/>
              </w:rPr>
            </w:pPr>
            <w:r w:rsidRPr="005874EB">
              <w:rPr>
                <w:lang w:val="es-ES"/>
              </w:rPr>
              <w:t xml:space="preserve">Academic Editor: </w:t>
            </w:r>
          </w:p>
          <w:p w14:paraId="7C7FEA62" w14:textId="77777777" w:rsidR="00D03F63" w:rsidRPr="005874EB" w:rsidRDefault="00D03F63" w:rsidP="00D03F63">
            <w:pPr>
              <w:pStyle w:val="MDPI14history"/>
              <w:rPr>
                <w:rFonts w:ascii="SimSun" w:eastAsia="SimSun" w:hAnsi="SimSun" w:cs="SimSun"/>
                <w:lang w:val="es-ES"/>
              </w:rPr>
            </w:pPr>
            <w:r w:rsidRPr="005874EB">
              <w:rPr>
                <w:szCs w:val="14"/>
                <w:lang w:val="es-ES"/>
              </w:rPr>
              <w:t>Received: date</w:t>
            </w:r>
          </w:p>
          <w:p w14:paraId="524F9CC0" w14:textId="77777777" w:rsidR="00D03F63" w:rsidRPr="005874EB" w:rsidRDefault="00D03F63" w:rsidP="00D03F63">
            <w:pPr>
              <w:pStyle w:val="MDPI14history"/>
              <w:rPr>
                <w:szCs w:val="14"/>
                <w:lang w:val="es-ES"/>
              </w:rPr>
            </w:pPr>
            <w:r w:rsidRPr="005874EB">
              <w:rPr>
                <w:szCs w:val="14"/>
                <w:lang w:val="es-ES"/>
              </w:rPr>
              <w:t>Accepted: date</w:t>
            </w:r>
          </w:p>
          <w:p w14:paraId="533D41D9" w14:textId="77777777" w:rsidR="00D03F63" w:rsidRPr="005874EB" w:rsidRDefault="00D03F63" w:rsidP="00D03F63">
            <w:pPr>
              <w:pStyle w:val="MDPI14history"/>
              <w:spacing w:after="240"/>
              <w:rPr>
                <w:szCs w:val="14"/>
                <w:lang w:val="es-ES"/>
              </w:rPr>
            </w:pPr>
            <w:r w:rsidRPr="005874EB">
              <w:rPr>
                <w:szCs w:val="14"/>
                <w:lang w:val="es-ES"/>
              </w:rPr>
              <w:t>Published: date</w:t>
            </w:r>
          </w:p>
          <w:p w14:paraId="70140256" w14:textId="77777777" w:rsidR="00D03F63" w:rsidRPr="005874EB" w:rsidRDefault="007545EE" w:rsidP="00D03F63">
            <w:pPr>
              <w:adjustRightInd w:val="0"/>
              <w:snapToGrid w:val="0"/>
              <w:spacing w:before="240" w:line="240" w:lineRule="atLeast"/>
              <w:ind w:right="113"/>
              <w:jc w:val="left"/>
              <w:rPr>
                <w:rFonts w:eastAsia="DengXian"/>
                <w:bCs/>
                <w:sz w:val="14"/>
                <w:szCs w:val="14"/>
                <w:lang w:val="es-ES" w:bidi="en-US"/>
              </w:rPr>
            </w:pPr>
            <w:r w:rsidRPr="005874EB">
              <w:rPr>
                <w:rFonts w:eastAsia="DengXian"/>
                <w:lang w:val="es-ES" w:eastAsia="es-ES"/>
              </w:rPr>
              <w:drawing>
                <wp:inline distT="0" distB="0" distL="0" distR="0" wp14:anchorId="06E77ACA" wp14:editId="795E5E30">
                  <wp:extent cx="695325"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inline>
              </w:drawing>
            </w:r>
          </w:p>
          <w:p w14:paraId="4AAA9BA5" w14:textId="77777777" w:rsidR="00D03F63" w:rsidRPr="005874EB" w:rsidRDefault="00D03F63" w:rsidP="00D03F63">
            <w:pPr>
              <w:adjustRightInd w:val="0"/>
              <w:snapToGrid w:val="0"/>
              <w:spacing w:before="60" w:line="240" w:lineRule="atLeast"/>
              <w:ind w:right="113"/>
              <w:rPr>
                <w:rFonts w:eastAsia="DengXian"/>
                <w:bCs/>
                <w:sz w:val="14"/>
                <w:szCs w:val="14"/>
                <w:lang w:val="es-ES" w:bidi="en-US"/>
              </w:rPr>
            </w:pPr>
            <w:r w:rsidRPr="005874EB">
              <w:rPr>
                <w:rFonts w:eastAsia="DengXian"/>
                <w:b/>
                <w:bCs/>
                <w:sz w:val="14"/>
                <w:szCs w:val="14"/>
                <w:lang w:val="es-ES" w:bidi="en-US"/>
              </w:rPr>
              <w:t>Copyright:</w:t>
            </w:r>
            <w:r w:rsidRPr="005874EB">
              <w:rPr>
                <w:rFonts w:eastAsia="DengXian"/>
                <w:bCs/>
                <w:sz w:val="14"/>
                <w:szCs w:val="14"/>
                <w:lang w:val="es-ES" w:bidi="en-US"/>
              </w:rPr>
              <w:t xml:space="preserve"> © 2021 by the authors. Submitted for possible open access publication under the terms and conditions of the Creative Commons Attribution (CC BY) license (http://creativecommons.org/licenses/by/4.0/).</w:t>
            </w:r>
          </w:p>
        </w:tc>
      </w:tr>
    </w:tbl>
    <w:p w14:paraId="477E47E0" w14:textId="77777777" w:rsidR="00662DAE" w:rsidRPr="00662DAE" w:rsidRDefault="00FE6943" w:rsidP="00662DAE">
      <w:pPr>
        <w:pStyle w:val="MDPI21heading1"/>
        <w:numPr>
          <w:ilvl w:val="0"/>
          <w:numId w:val="17"/>
        </w:numPr>
        <w:rPr>
          <w:lang w:val="es-ES" w:eastAsia="zh-CN"/>
        </w:rPr>
      </w:pPr>
      <w:r w:rsidRPr="005874EB">
        <w:rPr>
          <w:lang w:val="es-ES" w:eastAsia="zh-CN"/>
        </w:rPr>
        <w:t>Introdu</w:t>
      </w:r>
      <w:r w:rsidR="00894D6B" w:rsidRPr="005874EB">
        <w:rPr>
          <w:lang w:val="es-ES" w:eastAsia="zh-CN"/>
        </w:rPr>
        <w:t>cción</w:t>
      </w:r>
    </w:p>
    <w:p w14:paraId="529843DA" w14:textId="77777777" w:rsidR="003B4823" w:rsidRPr="00641936" w:rsidRDefault="00894D6B" w:rsidP="002C74FC">
      <w:pPr>
        <w:pStyle w:val="MDPI31text"/>
        <w:rPr>
          <w:vertAlign w:val="superscript"/>
          <w:lang w:val="es-ES"/>
        </w:rPr>
      </w:pPr>
      <w:r w:rsidRPr="005874EB">
        <w:rPr>
          <w:lang w:val="es-ES"/>
        </w:rPr>
        <w:t xml:space="preserve">La articulación glenohumeral es la articulación </w:t>
      </w:r>
      <w:r w:rsidR="003B4823" w:rsidRPr="005874EB">
        <w:rPr>
          <w:lang w:val="es-ES"/>
        </w:rPr>
        <w:t xml:space="preserve">con mayor movilidad </w:t>
      </w:r>
      <w:r w:rsidRPr="005874EB">
        <w:rPr>
          <w:lang w:val="es-ES"/>
        </w:rPr>
        <w:t>del cuerpo humano</w:t>
      </w:r>
      <w:r w:rsidR="003B4823" w:rsidRPr="005874EB">
        <w:rPr>
          <w:lang w:val="es-ES"/>
        </w:rPr>
        <w:t>, debido a la disco</w:t>
      </w:r>
      <w:r w:rsidR="005874EB">
        <w:rPr>
          <w:lang w:val="es-ES"/>
        </w:rPr>
        <w:t>r</w:t>
      </w:r>
      <w:r w:rsidR="003B4823" w:rsidRPr="005874EB">
        <w:rPr>
          <w:lang w:val="es-ES"/>
        </w:rPr>
        <w:t xml:space="preserve">dancia entre las superficies articulares de la cabeza humeral y la glena </w:t>
      </w:r>
      <w:r w:rsidR="005874EB">
        <w:rPr>
          <w:lang w:val="es-ES"/>
        </w:rPr>
        <w:t>e</w:t>
      </w:r>
      <w:r w:rsidR="003B4823" w:rsidRPr="005874EB">
        <w:rPr>
          <w:lang w:val="es-ES"/>
        </w:rPr>
        <w:t>scapular, que es entre tres y cuatro veces menor</w:t>
      </w:r>
      <w:r w:rsidRPr="005874EB">
        <w:rPr>
          <w:lang w:val="es-ES"/>
        </w:rPr>
        <w:t xml:space="preserve">. </w:t>
      </w:r>
      <w:r w:rsidR="003B4823" w:rsidRPr="005874EB">
        <w:rPr>
          <w:lang w:val="es-ES"/>
        </w:rPr>
        <w:t xml:space="preserve">Es por ello por lo que también esta articulación posee una baja estabilidad, adquiriendo los cuatro músculos que componen el manguito rotador (supraespinoso, infraespinoso, redondo menor y subscapular) un papel relevante en la movilidad y </w:t>
      </w:r>
      <w:r w:rsidR="004001F2">
        <w:rPr>
          <w:lang w:val="es-ES"/>
        </w:rPr>
        <w:t xml:space="preserve">la </w:t>
      </w:r>
      <w:r w:rsidR="003B4823" w:rsidRPr="005874EB">
        <w:rPr>
          <w:lang w:val="es-ES"/>
        </w:rPr>
        <w:t>estabilidad.</w:t>
      </w:r>
      <w:r w:rsidR="00641936">
        <w:rPr>
          <w:vertAlign w:val="superscript"/>
          <w:lang w:val="es-ES"/>
        </w:rPr>
        <w:t>1</w:t>
      </w:r>
    </w:p>
    <w:p w14:paraId="366FD61E" w14:textId="77777777" w:rsidR="003B4823" w:rsidRPr="005874EB" w:rsidRDefault="003B4823" w:rsidP="002C74FC">
      <w:pPr>
        <w:pStyle w:val="MDPI31text"/>
        <w:rPr>
          <w:lang w:val="es-ES"/>
        </w:rPr>
      </w:pPr>
    </w:p>
    <w:p w14:paraId="7B760128" w14:textId="43F1D4C9" w:rsidR="003B4823" w:rsidRPr="00641936" w:rsidRDefault="003B4823" w:rsidP="002C74FC">
      <w:pPr>
        <w:pStyle w:val="MDPI31text"/>
        <w:rPr>
          <w:vertAlign w:val="superscript"/>
          <w:lang w:val="es-ES"/>
        </w:rPr>
      </w:pPr>
      <w:r w:rsidRPr="005874EB">
        <w:rPr>
          <w:lang w:val="es-ES"/>
        </w:rPr>
        <w:t>Cuando se produce una rotura en los tendones de los músculos del manguito rotador puede deberse a dos tipos de factores. Por un lado se encuentran los factores extrínsecos, que son los que clásicamente más se han</w:t>
      </w:r>
      <w:r w:rsidR="005874EB" w:rsidRPr="005874EB">
        <w:rPr>
          <w:lang w:val="es-ES"/>
        </w:rPr>
        <w:t xml:space="preserve"> relacionado a este tipo de lesiones. Dentro de ellos destaca el pinzamiento subacromial</w:t>
      </w:r>
      <w:r w:rsidR="005874EB" w:rsidRPr="008052E8">
        <w:rPr>
          <w:lang w:val="es-ES"/>
        </w:rPr>
        <w:t xml:space="preserve">, </w:t>
      </w:r>
      <w:r w:rsidR="001D053C">
        <w:rPr>
          <w:lang w:val="es-ES"/>
        </w:rPr>
        <w:t>nombre que se le da</w:t>
      </w:r>
      <w:r w:rsidR="005874EB" w:rsidRPr="008052E8">
        <w:rPr>
          <w:lang w:val="es-ES"/>
        </w:rPr>
        <w:t xml:space="preserve"> a</w:t>
      </w:r>
      <w:r w:rsidR="005874EB" w:rsidRPr="005874EB">
        <w:rPr>
          <w:lang w:val="es-ES"/>
        </w:rPr>
        <w:t xml:space="preserve"> la compre</w:t>
      </w:r>
      <w:r w:rsidR="005874EB">
        <w:rPr>
          <w:lang w:val="es-ES"/>
        </w:rPr>
        <w:t>sió</w:t>
      </w:r>
      <w:r w:rsidR="005874EB" w:rsidRPr="005874EB">
        <w:rPr>
          <w:lang w:val="es-ES"/>
        </w:rPr>
        <w:t>n de la parte posterosuperior del manguito con el acromion cuando se realiza la ab</w:t>
      </w:r>
      <w:r w:rsidR="00BE50A3">
        <w:rPr>
          <w:lang w:val="es-ES"/>
        </w:rPr>
        <w:t>d</w:t>
      </w:r>
      <w:r w:rsidR="005874EB">
        <w:rPr>
          <w:lang w:val="es-ES"/>
        </w:rPr>
        <w:t>u</w:t>
      </w:r>
      <w:r w:rsidR="005874EB" w:rsidRPr="005874EB">
        <w:rPr>
          <w:lang w:val="es-ES"/>
        </w:rPr>
        <w:t>cción del hombro. Por otro lado, tenemos los factores intrínsecos, los cuales se ha visto más recientemente que tienen un peso mayor en la lesión del manguito. Entre ellos se encuentran los factores vasculares y genéticos, la edad del paciente, enfermedades del aparato endocrino como la diabetes o el hipotiroidismo, los hábitos del paciente como el tabaco, etc.</w:t>
      </w:r>
      <w:r w:rsidR="00641936">
        <w:rPr>
          <w:vertAlign w:val="superscript"/>
          <w:lang w:val="es-ES"/>
        </w:rPr>
        <w:t>2</w:t>
      </w:r>
    </w:p>
    <w:p w14:paraId="79174793" w14:textId="77777777" w:rsidR="003B4823" w:rsidRPr="005874EB" w:rsidRDefault="003B4823" w:rsidP="004001F2">
      <w:pPr>
        <w:pStyle w:val="MDPI31text"/>
        <w:ind w:left="0" w:firstLine="0"/>
        <w:rPr>
          <w:lang w:val="es-ES"/>
        </w:rPr>
      </w:pPr>
    </w:p>
    <w:p w14:paraId="0D21CFC3" w14:textId="77777777" w:rsidR="00BB1CA6" w:rsidRPr="005874EB" w:rsidRDefault="005874EB" w:rsidP="00BB1CA6">
      <w:pPr>
        <w:pStyle w:val="MDPI31text"/>
        <w:rPr>
          <w:lang w:val="es-ES"/>
        </w:rPr>
      </w:pPr>
      <w:r w:rsidRPr="005874EB">
        <w:rPr>
          <w:lang w:val="es-ES"/>
        </w:rPr>
        <w:t xml:space="preserve">Los tendones del manguito rotador rodean a modo de brazalete la cabeza humeral de manera continuada, por lo que una lesión en una </w:t>
      </w:r>
      <w:r w:rsidR="00016CD8" w:rsidRPr="005874EB">
        <w:rPr>
          <w:lang w:val="es-ES"/>
        </w:rPr>
        <w:t>región</w:t>
      </w:r>
      <w:r w:rsidRPr="005874EB">
        <w:rPr>
          <w:lang w:val="es-ES"/>
        </w:rPr>
        <w:t xml:space="preserve"> del manguito puede progresar y lesionar el resto de regiones.</w:t>
      </w:r>
    </w:p>
    <w:p w14:paraId="652C1AF8" w14:textId="77777777" w:rsidR="00BB1CA6" w:rsidRPr="005874EB" w:rsidRDefault="00BB1CA6" w:rsidP="00182666">
      <w:pPr>
        <w:pStyle w:val="MDPI31text"/>
        <w:ind w:left="0" w:firstLine="0"/>
        <w:rPr>
          <w:lang w:val="es-ES"/>
        </w:rPr>
      </w:pPr>
    </w:p>
    <w:p w14:paraId="68137F99" w14:textId="77777777" w:rsidR="00353158" w:rsidRDefault="00182666" w:rsidP="00BB1CA6">
      <w:pPr>
        <w:pStyle w:val="MDPI31text"/>
        <w:rPr>
          <w:lang w:val="es-ES"/>
        </w:rPr>
      </w:pPr>
      <w:r>
        <w:rPr>
          <w:lang w:val="es-ES"/>
        </w:rPr>
        <w:t>Es</w:t>
      </w:r>
      <w:r w:rsidR="00BB1CA6" w:rsidRPr="005874EB">
        <w:rPr>
          <w:lang w:val="es-ES"/>
        </w:rPr>
        <w:t>tas lesiones empezarán de manera parcial. Pueden s</w:t>
      </w:r>
      <w:r>
        <w:rPr>
          <w:lang w:val="es-ES"/>
        </w:rPr>
        <w:t xml:space="preserve">er intrasustancia, las menos comunes, o afectar a alguno de los bordes del tendón, </w:t>
      </w:r>
      <w:r w:rsidR="00BB1CA6" w:rsidRPr="005874EB">
        <w:rPr>
          <w:lang w:val="es-ES"/>
        </w:rPr>
        <w:t xml:space="preserve">diferenciándose así dos tipos: las articulares </w:t>
      </w:r>
      <w:r>
        <w:rPr>
          <w:lang w:val="es-ES"/>
        </w:rPr>
        <w:t xml:space="preserve">(cuando afectan al borde inferior) </w:t>
      </w:r>
      <w:r w:rsidR="00BB1CA6" w:rsidRPr="005874EB">
        <w:rPr>
          <w:lang w:val="es-ES"/>
        </w:rPr>
        <w:t>y las bursales</w:t>
      </w:r>
      <w:r>
        <w:rPr>
          <w:lang w:val="es-ES"/>
        </w:rPr>
        <w:t xml:space="preserve"> (cuando afectan al borde superior)</w:t>
      </w:r>
      <w:r w:rsidR="00BB1CA6" w:rsidRPr="005874EB">
        <w:rPr>
          <w:lang w:val="es-ES"/>
        </w:rPr>
        <w:t xml:space="preserve">. Posteriormente avanzarán hasta producirse </w:t>
      </w:r>
      <w:r>
        <w:rPr>
          <w:lang w:val="es-ES"/>
        </w:rPr>
        <w:t xml:space="preserve">una lesión en todo el grosor del tendón, </w:t>
      </w:r>
      <w:r w:rsidR="00016CD8">
        <w:rPr>
          <w:lang w:val="es-ES"/>
        </w:rPr>
        <w:t>conociéndose</w:t>
      </w:r>
      <w:r>
        <w:rPr>
          <w:lang w:val="es-ES"/>
        </w:rPr>
        <w:t xml:space="preserve"> entonces a estas lesiones como </w:t>
      </w:r>
      <w:r w:rsidR="00BB1CA6" w:rsidRPr="005874EB">
        <w:rPr>
          <w:lang w:val="es-ES"/>
        </w:rPr>
        <w:t xml:space="preserve">completas. </w:t>
      </w:r>
    </w:p>
    <w:p w14:paraId="4F12F2D0" w14:textId="77777777" w:rsidR="00182666" w:rsidRPr="005874EB" w:rsidRDefault="00182666" w:rsidP="00BB1CA6">
      <w:pPr>
        <w:pStyle w:val="MDPI31text"/>
        <w:rPr>
          <w:lang w:val="es-ES"/>
        </w:rPr>
      </w:pPr>
    </w:p>
    <w:p w14:paraId="24F9F46C" w14:textId="77777777" w:rsidR="00353158" w:rsidRPr="005874EB" w:rsidRDefault="00353158" w:rsidP="00BB1CA6">
      <w:pPr>
        <w:pStyle w:val="MDPI31text"/>
        <w:rPr>
          <w:lang w:val="es-ES"/>
        </w:rPr>
      </w:pPr>
      <w:r w:rsidRPr="005874EB">
        <w:rPr>
          <w:lang w:val="es-ES"/>
        </w:rPr>
        <w:t>Según el avance de esta lesión, las clasificaremos en: pequeñas</w:t>
      </w:r>
      <w:r w:rsidR="00182666">
        <w:rPr>
          <w:lang w:val="es-ES"/>
        </w:rPr>
        <w:t xml:space="preserve"> (menos de 1 centímetro de longitud de lesión)</w:t>
      </w:r>
      <w:r w:rsidRPr="005874EB">
        <w:rPr>
          <w:lang w:val="es-ES"/>
        </w:rPr>
        <w:t>, medianas</w:t>
      </w:r>
      <w:r w:rsidR="00182666">
        <w:rPr>
          <w:lang w:val="es-ES"/>
        </w:rPr>
        <w:t xml:space="preserve"> (entre 1 y 3 centímetros)</w:t>
      </w:r>
      <w:r w:rsidRPr="005874EB">
        <w:rPr>
          <w:lang w:val="es-ES"/>
        </w:rPr>
        <w:t>, grandes</w:t>
      </w:r>
      <w:r w:rsidR="00182666">
        <w:rPr>
          <w:lang w:val="es-ES"/>
        </w:rPr>
        <w:t xml:space="preserve"> (entre 3 y 5)</w:t>
      </w:r>
      <w:r w:rsidRPr="005874EB">
        <w:rPr>
          <w:lang w:val="es-ES"/>
        </w:rPr>
        <w:t xml:space="preserve"> y finalmente masivas</w:t>
      </w:r>
      <w:r w:rsidR="00182666">
        <w:rPr>
          <w:lang w:val="es-ES"/>
        </w:rPr>
        <w:t xml:space="preserve"> (más de 5 centímetros)</w:t>
      </w:r>
      <w:r w:rsidR="00396D06" w:rsidRPr="005874EB">
        <w:rPr>
          <w:lang w:val="es-ES"/>
        </w:rPr>
        <w:t xml:space="preserve">. </w:t>
      </w:r>
    </w:p>
    <w:p w14:paraId="2422AB6D" w14:textId="77777777" w:rsidR="00396D06" w:rsidRPr="005874EB" w:rsidRDefault="00396D06" w:rsidP="00BB1CA6">
      <w:pPr>
        <w:pStyle w:val="MDPI31text"/>
        <w:rPr>
          <w:lang w:val="es-ES"/>
        </w:rPr>
      </w:pPr>
    </w:p>
    <w:p w14:paraId="6117466B" w14:textId="77777777" w:rsidR="00396D06" w:rsidRPr="00C6369B" w:rsidRDefault="00396D06" w:rsidP="00BB1CA6">
      <w:pPr>
        <w:pStyle w:val="MDPI31text"/>
        <w:rPr>
          <w:color w:val="auto"/>
          <w:vertAlign w:val="superscript"/>
          <w:lang w:val="es-ES"/>
        </w:rPr>
      </w:pPr>
      <w:r w:rsidRPr="005874EB">
        <w:rPr>
          <w:lang w:val="es-ES"/>
        </w:rPr>
        <w:t>Estas últimas, las</w:t>
      </w:r>
      <w:r w:rsidR="00182666">
        <w:rPr>
          <w:lang w:val="es-ES"/>
        </w:rPr>
        <w:t xml:space="preserve"> roturas</w:t>
      </w:r>
      <w:r w:rsidRPr="005874EB">
        <w:rPr>
          <w:lang w:val="es-ES"/>
        </w:rPr>
        <w:t xml:space="preserve"> masivas, también </w:t>
      </w:r>
      <w:r w:rsidR="00182666">
        <w:rPr>
          <w:lang w:val="es-ES"/>
        </w:rPr>
        <w:t>se definen como aquellas que afect</w:t>
      </w:r>
      <w:r w:rsidRPr="005874EB">
        <w:rPr>
          <w:lang w:val="es-ES"/>
        </w:rPr>
        <w:t>a</w:t>
      </w:r>
      <w:r w:rsidR="00182666">
        <w:rPr>
          <w:lang w:val="es-ES"/>
        </w:rPr>
        <w:t>n a más de 2 tendones del mangu</w:t>
      </w:r>
      <w:r w:rsidRPr="005874EB">
        <w:rPr>
          <w:lang w:val="es-ES"/>
        </w:rPr>
        <w:t>i</w:t>
      </w:r>
      <w:r w:rsidR="00182666">
        <w:rPr>
          <w:lang w:val="es-ES"/>
        </w:rPr>
        <w:t>t</w:t>
      </w:r>
      <w:r w:rsidRPr="005874EB">
        <w:rPr>
          <w:lang w:val="es-ES"/>
        </w:rPr>
        <w:t>o</w:t>
      </w:r>
      <w:r w:rsidR="00182666">
        <w:rPr>
          <w:lang w:val="es-ES"/>
        </w:rPr>
        <w:t xml:space="preserve"> rotador</w:t>
      </w:r>
      <w:r w:rsidRPr="005874EB">
        <w:rPr>
          <w:lang w:val="es-ES"/>
        </w:rPr>
        <w:t xml:space="preserve">. </w:t>
      </w:r>
      <w:r w:rsidR="00182666">
        <w:rPr>
          <w:lang w:val="es-ES"/>
        </w:rPr>
        <w:t xml:space="preserve">Constituyen entre el 10 y el 40% de </w:t>
      </w:r>
      <w:r w:rsidRPr="005874EB">
        <w:rPr>
          <w:lang w:val="es-ES"/>
        </w:rPr>
        <w:t xml:space="preserve">las roturas </w:t>
      </w:r>
      <w:r w:rsidR="00182666">
        <w:rPr>
          <w:lang w:val="es-ES"/>
        </w:rPr>
        <w:t>del m</w:t>
      </w:r>
      <w:r w:rsidR="00016CD8">
        <w:rPr>
          <w:color w:val="auto"/>
          <w:lang w:val="es-ES"/>
        </w:rPr>
        <w:t>anguit</w:t>
      </w:r>
      <w:r w:rsidR="00182666" w:rsidRPr="00E6144D">
        <w:rPr>
          <w:color w:val="auto"/>
          <w:lang w:val="es-ES"/>
        </w:rPr>
        <w:t xml:space="preserve">o </w:t>
      </w:r>
      <w:r w:rsidRPr="00E6144D">
        <w:rPr>
          <w:color w:val="auto"/>
          <w:lang w:val="es-ES"/>
        </w:rPr>
        <w:t>y se consideran irreparables, suponiendo su tasa de re-rotura tras la reparación directa de aproximadamente el 90%.</w:t>
      </w:r>
      <w:r w:rsidR="00C6369B">
        <w:rPr>
          <w:color w:val="auto"/>
          <w:vertAlign w:val="superscript"/>
          <w:lang w:val="es-ES"/>
        </w:rPr>
        <w:t>2</w:t>
      </w:r>
      <w:r w:rsidR="0019063D">
        <w:rPr>
          <w:color w:val="auto"/>
          <w:vertAlign w:val="superscript"/>
          <w:lang w:val="es-ES"/>
        </w:rPr>
        <w:t>,3</w:t>
      </w:r>
    </w:p>
    <w:p w14:paraId="54F55E32" w14:textId="77777777" w:rsidR="00E6144D" w:rsidRPr="00E6144D" w:rsidRDefault="00E6144D" w:rsidP="00BB1CA6">
      <w:pPr>
        <w:pStyle w:val="MDPI31text"/>
        <w:rPr>
          <w:color w:val="auto"/>
          <w:lang w:val="es-ES"/>
        </w:rPr>
      </w:pPr>
    </w:p>
    <w:p w14:paraId="642B9082" w14:textId="77777777" w:rsidR="00E6144D" w:rsidRPr="00EE1A37" w:rsidRDefault="00E6144D" w:rsidP="00BB1CA6">
      <w:pPr>
        <w:pStyle w:val="MDPI31text"/>
        <w:rPr>
          <w:color w:val="auto"/>
          <w:vertAlign w:val="superscript"/>
          <w:lang w:val="es-ES"/>
        </w:rPr>
      </w:pPr>
      <w:r w:rsidRPr="00E6144D">
        <w:rPr>
          <w:color w:val="auto"/>
          <w:lang w:val="es-ES"/>
        </w:rPr>
        <w:t>De manera secundaria a esta lesión del manguito rotador se va produciendo una artropatía de la articulación glenohumeral, que ha sido clasificada según Hamada en 5 grados:</w:t>
      </w:r>
      <w:r w:rsidR="0019063D">
        <w:rPr>
          <w:color w:val="auto"/>
          <w:vertAlign w:val="superscript"/>
          <w:lang w:val="es-ES"/>
        </w:rPr>
        <w:t>4</w:t>
      </w:r>
      <w:r w:rsidR="007E1E45">
        <w:rPr>
          <w:color w:val="auto"/>
          <w:vertAlign w:val="superscript"/>
          <w:lang w:val="es-ES"/>
        </w:rPr>
        <w:t>,5</w:t>
      </w:r>
    </w:p>
    <w:p w14:paraId="7653BE17" w14:textId="77777777" w:rsidR="00DF2EEA" w:rsidRPr="00E6144D" w:rsidRDefault="00DF2EEA" w:rsidP="00E6144D">
      <w:pPr>
        <w:pStyle w:val="MDPI31text"/>
        <w:ind w:left="0" w:firstLine="0"/>
        <w:rPr>
          <w:color w:val="auto"/>
          <w:lang w:val="es-ES"/>
        </w:rPr>
      </w:pPr>
    </w:p>
    <w:p w14:paraId="05B063A8" w14:textId="77777777" w:rsidR="00DF2EEA" w:rsidRPr="00E6144D" w:rsidRDefault="00DF2EEA" w:rsidP="00DF2EEA">
      <w:pPr>
        <w:pStyle w:val="MDPI31text"/>
        <w:numPr>
          <w:ilvl w:val="0"/>
          <w:numId w:val="16"/>
        </w:numPr>
        <w:rPr>
          <w:color w:val="auto"/>
          <w:lang w:val="es-ES"/>
        </w:rPr>
      </w:pPr>
      <w:r w:rsidRPr="00E6144D">
        <w:rPr>
          <w:color w:val="auto"/>
          <w:lang w:val="es-ES"/>
        </w:rPr>
        <w:t>Distancia acromiohumeral mayor de 6 mm</w:t>
      </w:r>
      <w:r w:rsidR="00E6144D" w:rsidRPr="00E6144D">
        <w:rPr>
          <w:color w:val="auto"/>
          <w:lang w:val="es-ES"/>
        </w:rPr>
        <w:t>.</w:t>
      </w:r>
    </w:p>
    <w:p w14:paraId="5AEBDBB4" w14:textId="77777777" w:rsidR="00DF2EEA" w:rsidRPr="00E6144D" w:rsidRDefault="00DF2EEA" w:rsidP="00DF2EEA">
      <w:pPr>
        <w:pStyle w:val="MDPI31text"/>
        <w:numPr>
          <w:ilvl w:val="0"/>
          <w:numId w:val="16"/>
        </w:numPr>
        <w:rPr>
          <w:color w:val="auto"/>
          <w:lang w:val="es-ES"/>
        </w:rPr>
      </w:pPr>
      <w:r w:rsidRPr="00E6144D">
        <w:rPr>
          <w:color w:val="auto"/>
          <w:lang w:val="es-ES"/>
        </w:rPr>
        <w:t xml:space="preserve">Distancia </w:t>
      </w:r>
      <w:r w:rsidR="00E6144D" w:rsidRPr="00E6144D">
        <w:rPr>
          <w:color w:val="auto"/>
          <w:lang w:val="es-ES"/>
        </w:rPr>
        <w:t xml:space="preserve">acromiohumeral </w:t>
      </w:r>
      <w:r w:rsidRPr="00E6144D">
        <w:rPr>
          <w:color w:val="auto"/>
          <w:lang w:val="es-ES"/>
        </w:rPr>
        <w:t>igual o menor de 5 mm</w:t>
      </w:r>
      <w:r w:rsidR="00E6144D" w:rsidRPr="00E6144D">
        <w:rPr>
          <w:color w:val="auto"/>
          <w:lang w:val="es-ES"/>
        </w:rPr>
        <w:t>.</w:t>
      </w:r>
    </w:p>
    <w:p w14:paraId="255860A8" w14:textId="77777777" w:rsidR="00DF2EEA" w:rsidRPr="00E6144D" w:rsidRDefault="00DF2EEA" w:rsidP="00DF2EEA">
      <w:pPr>
        <w:pStyle w:val="MDPI31text"/>
        <w:numPr>
          <w:ilvl w:val="0"/>
          <w:numId w:val="16"/>
        </w:numPr>
        <w:rPr>
          <w:color w:val="auto"/>
          <w:lang w:val="es-ES"/>
        </w:rPr>
      </w:pPr>
      <w:r w:rsidRPr="00E6144D">
        <w:rPr>
          <w:color w:val="auto"/>
          <w:lang w:val="es-ES"/>
        </w:rPr>
        <w:t xml:space="preserve">La superficie inferior del acromion </w:t>
      </w:r>
      <w:r w:rsidR="00E6144D" w:rsidRPr="00E6144D">
        <w:rPr>
          <w:color w:val="auto"/>
          <w:lang w:val="es-ES"/>
        </w:rPr>
        <w:t>se encuentra lesionada, present</w:t>
      </w:r>
      <w:r w:rsidRPr="00E6144D">
        <w:rPr>
          <w:color w:val="auto"/>
          <w:lang w:val="es-ES"/>
        </w:rPr>
        <w:t>a</w:t>
      </w:r>
      <w:r w:rsidR="00E6144D" w:rsidRPr="00E6144D">
        <w:rPr>
          <w:color w:val="auto"/>
          <w:lang w:val="es-ES"/>
        </w:rPr>
        <w:t>ndo</w:t>
      </w:r>
      <w:r w:rsidRPr="00E6144D">
        <w:rPr>
          <w:color w:val="auto"/>
          <w:lang w:val="es-ES"/>
        </w:rPr>
        <w:t xml:space="preserve"> una deformidad cóncava</w:t>
      </w:r>
      <w:r w:rsidR="00E6144D" w:rsidRPr="00E6144D">
        <w:rPr>
          <w:color w:val="auto"/>
          <w:lang w:val="es-ES"/>
        </w:rPr>
        <w:t>.</w:t>
      </w:r>
    </w:p>
    <w:p w14:paraId="4A80E5D2" w14:textId="77777777" w:rsidR="00DF2EEA" w:rsidRPr="00E6144D" w:rsidRDefault="00DF2EEA" w:rsidP="00DF2EEA">
      <w:pPr>
        <w:pStyle w:val="MDPI31text"/>
        <w:numPr>
          <w:ilvl w:val="0"/>
          <w:numId w:val="16"/>
        </w:numPr>
        <w:rPr>
          <w:color w:val="auto"/>
          <w:lang w:val="es-ES"/>
        </w:rPr>
      </w:pPr>
      <w:r w:rsidRPr="00E6144D">
        <w:rPr>
          <w:color w:val="auto"/>
          <w:lang w:val="es-ES"/>
        </w:rPr>
        <w:t>Dismi</w:t>
      </w:r>
      <w:r w:rsidR="00E6144D" w:rsidRPr="00E6144D">
        <w:rPr>
          <w:color w:val="auto"/>
          <w:lang w:val="es-ES"/>
        </w:rPr>
        <w:t xml:space="preserve">nución del espacio glenohumeral: </w:t>
      </w:r>
      <w:r w:rsidRPr="00E6144D">
        <w:rPr>
          <w:color w:val="auto"/>
          <w:lang w:val="es-ES"/>
        </w:rPr>
        <w:t xml:space="preserve">sin </w:t>
      </w:r>
      <w:r w:rsidR="00E6144D" w:rsidRPr="00E6144D">
        <w:rPr>
          <w:color w:val="auto"/>
          <w:lang w:val="es-ES"/>
        </w:rPr>
        <w:t>acetabul</w:t>
      </w:r>
      <w:r w:rsidR="00016CD8">
        <w:rPr>
          <w:color w:val="auto"/>
          <w:lang w:val="es-ES"/>
        </w:rPr>
        <w:t>i</w:t>
      </w:r>
      <w:r w:rsidR="00E6144D" w:rsidRPr="00E6144D">
        <w:rPr>
          <w:color w:val="auto"/>
          <w:lang w:val="es-ES"/>
        </w:rPr>
        <w:t>zación de la glena (a) o con acetabulizac</w:t>
      </w:r>
      <w:r w:rsidR="00016CD8">
        <w:rPr>
          <w:color w:val="auto"/>
          <w:lang w:val="es-ES"/>
        </w:rPr>
        <w:t>i</w:t>
      </w:r>
      <w:r w:rsidR="00E6144D" w:rsidRPr="00E6144D">
        <w:rPr>
          <w:color w:val="auto"/>
          <w:lang w:val="es-ES"/>
        </w:rPr>
        <w:t>ón de la glena (b).</w:t>
      </w:r>
    </w:p>
    <w:p w14:paraId="4DFD8C7E" w14:textId="77777777" w:rsidR="00DF2EEA" w:rsidRPr="00E6144D" w:rsidRDefault="00DF2EEA" w:rsidP="00DF2EEA">
      <w:pPr>
        <w:pStyle w:val="MDPI31text"/>
        <w:numPr>
          <w:ilvl w:val="0"/>
          <w:numId w:val="16"/>
        </w:numPr>
        <w:rPr>
          <w:color w:val="auto"/>
          <w:lang w:val="es-ES"/>
        </w:rPr>
      </w:pPr>
      <w:r w:rsidRPr="00E6144D">
        <w:rPr>
          <w:color w:val="auto"/>
          <w:lang w:val="es-ES"/>
        </w:rPr>
        <w:t>Colapso de la cabeza humeral.</w:t>
      </w:r>
    </w:p>
    <w:p w14:paraId="1303AA7F" w14:textId="77777777" w:rsidR="00DF2EEA" w:rsidRPr="00016CD8" w:rsidRDefault="00DF2EEA" w:rsidP="00DF2EEA">
      <w:pPr>
        <w:pStyle w:val="MDPI31text"/>
        <w:ind w:left="3393" w:firstLine="0"/>
        <w:rPr>
          <w:color w:val="auto"/>
          <w:lang w:val="es-ES"/>
        </w:rPr>
      </w:pPr>
    </w:p>
    <w:p w14:paraId="0EB0931F" w14:textId="052B5B7F" w:rsidR="00E6144D" w:rsidRPr="00C6369B" w:rsidRDefault="001A069A" w:rsidP="004001F2">
      <w:pPr>
        <w:pStyle w:val="MDPI31text"/>
        <w:rPr>
          <w:color w:val="auto"/>
          <w:vertAlign w:val="superscript"/>
          <w:lang w:val="es-ES"/>
        </w:rPr>
      </w:pPr>
      <w:r w:rsidRPr="00016CD8">
        <w:rPr>
          <w:color w:val="auto"/>
          <w:lang w:val="es-ES"/>
        </w:rPr>
        <w:t xml:space="preserve">Pero en cuanto a las lesiones del manguito rotador, ¿cuándo son irreparables? Técnicamente podemos ser capaces de reparar casi cualquier tendón en quirófano, pero la cuestión es si </w:t>
      </w:r>
      <w:r w:rsidR="008052E8">
        <w:rPr>
          <w:color w:val="auto"/>
          <w:lang w:val="es-ES"/>
        </w:rPr>
        <w:t>é</w:t>
      </w:r>
      <w:r w:rsidRPr="00016CD8">
        <w:rPr>
          <w:color w:val="auto"/>
          <w:lang w:val="es-ES"/>
        </w:rPr>
        <w:t>sta tendrá éxito o fracasará. Por tanto, las lesiones irreparables son aquellas que, o no son reparables quirúrgicamente, o siendo reparables tendrán una alta probabilidad de fracaso. Esto se deberá principalmente a una serie de factores biológicos y mecánicos.</w:t>
      </w:r>
      <w:r w:rsidR="00C6369B">
        <w:rPr>
          <w:color w:val="auto"/>
          <w:vertAlign w:val="superscript"/>
          <w:lang w:val="es-ES"/>
        </w:rPr>
        <w:t>2</w:t>
      </w:r>
    </w:p>
    <w:p w14:paraId="2708BC98" w14:textId="77777777" w:rsidR="001A069A" w:rsidRPr="00016CD8" w:rsidRDefault="001A069A" w:rsidP="00DF2EEA">
      <w:pPr>
        <w:pStyle w:val="MDPI31text"/>
        <w:ind w:left="3393" w:firstLine="0"/>
        <w:rPr>
          <w:color w:val="auto"/>
          <w:lang w:val="es-ES"/>
        </w:rPr>
      </w:pPr>
    </w:p>
    <w:p w14:paraId="1537CCC4" w14:textId="48362D93" w:rsidR="00DF2EEA" w:rsidRPr="00016CD8" w:rsidRDefault="001A069A" w:rsidP="004001F2">
      <w:pPr>
        <w:pStyle w:val="MDPI31text"/>
        <w:rPr>
          <w:color w:val="auto"/>
          <w:lang w:val="es-ES"/>
        </w:rPr>
      </w:pPr>
      <w:r w:rsidRPr="00016CD8">
        <w:rPr>
          <w:color w:val="auto"/>
          <w:lang w:val="es-ES"/>
        </w:rPr>
        <w:t>Dentro de los biológicos estarán, entre otros, la edad del paciente, el hábito tabáquico, el tiempo de evolución de la fractura</w:t>
      </w:r>
      <w:r w:rsidR="00016CD8" w:rsidRPr="00016CD8">
        <w:rPr>
          <w:color w:val="auto"/>
          <w:lang w:val="es-ES"/>
        </w:rPr>
        <w:t xml:space="preserve"> y la infiltración grasa del músculo (clasificada en función de la clasificación de Goutallier), siendo este último el factor pronóstico más importante. Por otro lado tendremos factores mecánicos, entre los cuales destacan el número de tendones afectos o la retracción de estos mismos</w:t>
      </w:r>
      <w:r w:rsidR="00414994">
        <w:rPr>
          <w:color w:val="auto"/>
          <w:lang w:val="es-ES"/>
        </w:rPr>
        <w:t xml:space="preserve"> (con diferentes grados según la clasificación de Patte)</w:t>
      </w:r>
      <w:r w:rsidR="00016CD8" w:rsidRPr="00016CD8">
        <w:rPr>
          <w:color w:val="auto"/>
          <w:lang w:val="es-ES"/>
        </w:rPr>
        <w:t>, respectivamente.</w:t>
      </w:r>
    </w:p>
    <w:p w14:paraId="18B741DD" w14:textId="77777777" w:rsidR="00DF2EEA" w:rsidRPr="005874EB" w:rsidRDefault="00DF2EEA" w:rsidP="00DF2EEA">
      <w:pPr>
        <w:pStyle w:val="MDPI31text"/>
        <w:ind w:left="3393" w:firstLine="0"/>
        <w:rPr>
          <w:color w:val="FF0000"/>
          <w:lang w:val="es-ES"/>
        </w:rPr>
      </w:pPr>
    </w:p>
    <w:p w14:paraId="496679C6" w14:textId="77777777" w:rsidR="00DF2EEA" w:rsidRPr="005830F2" w:rsidRDefault="00016CD8" w:rsidP="005830F2">
      <w:pPr>
        <w:pStyle w:val="MDPI31text"/>
        <w:rPr>
          <w:color w:val="000000" w:themeColor="text1"/>
          <w:lang w:val="es-ES"/>
        </w:rPr>
      </w:pPr>
      <w:r>
        <w:rPr>
          <w:color w:val="000000" w:themeColor="text1"/>
          <w:lang w:val="es-ES"/>
        </w:rPr>
        <w:t>El</w:t>
      </w:r>
      <w:r w:rsidR="00DF2EEA" w:rsidRPr="005874EB">
        <w:rPr>
          <w:color w:val="000000" w:themeColor="text1"/>
          <w:lang w:val="es-ES"/>
        </w:rPr>
        <w:t xml:space="preserve"> objetivo de este trabajo es revisar las diferentes alternativas terapéuticas de las lesiones irr</w:t>
      </w:r>
      <w:r w:rsidR="005830F2">
        <w:rPr>
          <w:color w:val="000000" w:themeColor="text1"/>
          <w:lang w:val="es-ES"/>
        </w:rPr>
        <w:t>eparables del manguito rotador.</w:t>
      </w:r>
    </w:p>
    <w:p w14:paraId="7B5A8D7F" w14:textId="77777777" w:rsidR="00396D06" w:rsidRDefault="00396D06" w:rsidP="00396D06">
      <w:pPr>
        <w:pStyle w:val="MDPI31text"/>
        <w:ind w:left="0" w:firstLine="0"/>
        <w:rPr>
          <w:lang w:val="es-ES"/>
        </w:rPr>
      </w:pPr>
    </w:p>
    <w:p w14:paraId="5BF348E8" w14:textId="77777777" w:rsidR="005830F2" w:rsidRDefault="005830F2" w:rsidP="00396D06">
      <w:pPr>
        <w:pStyle w:val="MDPI31text"/>
        <w:ind w:left="0" w:firstLine="0"/>
        <w:rPr>
          <w:lang w:val="es-ES"/>
        </w:rPr>
      </w:pPr>
    </w:p>
    <w:p w14:paraId="1F40CB38" w14:textId="77777777" w:rsidR="005830F2" w:rsidRPr="005874EB" w:rsidRDefault="005830F2" w:rsidP="00396D06">
      <w:pPr>
        <w:pStyle w:val="MDPI31text"/>
        <w:ind w:left="0" w:firstLine="0"/>
        <w:rPr>
          <w:lang w:val="es-ES"/>
        </w:rPr>
      </w:pPr>
    </w:p>
    <w:p w14:paraId="13C0DC24" w14:textId="77777777" w:rsidR="00886A3A" w:rsidRPr="005874EB" w:rsidRDefault="00886A3A" w:rsidP="002C74FC">
      <w:pPr>
        <w:pStyle w:val="MDPI31text"/>
        <w:rPr>
          <w:lang w:val="es-ES"/>
        </w:rPr>
      </w:pPr>
    </w:p>
    <w:p w14:paraId="68CA1EC7" w14:textId="77777777" w:rsidR="00662DAE" w:rsidRDefault="00FE6943" w:rsidP="00662DAE">
      <w:pPr>
        <w:pStyle w:val="MDPI21heading1"/>
        <w:rPr>
          <w:lang w:val="es-ES"/>
        </w:rPr>
      </w:pPr>
      <w:r w:rsidRPr="005874EB">
        <w:rPr>
          <w:lang w:val="es-ES" w:eastAsia="zh-CN"/>
        </w:rPr>
        <w:t xml:space="preserve">2. </w:t>
      </w:r>
      <w:r w:rsidR="004001F2">
        <w:rPr>
          <w:lang w:val="es-ES" w:eastAsia="zh-CN"/>
        </w:rPr>
        <w:t xml:space="preserve"> </w:t>
      </w:r>
      <w:r w:rsidR="0099679C">
        <w:rPr>
          <w:lang w:val="es-ES"/>
        </w:rPr>
        <w:t>Material y métodos</w:t>
      </w:r>
    </w:p>
    <w:p w14:paraId="2D0B9FFF" w14:textId="77777777" w:rsidR="00662DAE" w:rsidRDefault="00662DAE" w:rsidP="002C74FC">
      <w:pPr>
        <w:pStyle w:val="MDPI31text"/>
        <w:rPr>
          <w:lang w:val="es-ES"/>
        </w:rPr>
      </w:pPr>
      <w:r>
        <w:rPr>
          <w:lang w:val="es-ES"/>
        </w:rPr>
        <w:lastRenderedPageBreak/>
        <w:t>Se realizó una revisión bibliográfica, en la cual como estrategia de búsqueda se hizo una revisión de artículos publicados en las bases de datos MEDLINE (a través de Pubmed) y Scopus. No se est</w:t>
      </w:r>
      <w:r w:rsidR="004001F2">
        <w:rPr>
          <w:lang w:val="es-ES"/>
        </w:rPr>
        <w:t>ablecieron límites lingüísticos o de año de publicación.</w:t>
      </w:r>
    </w:p>
    <w:p w14:paraId="3205BC19" w14:textId="77777777" w:rsidR="00662DAE" w:rsidRDefault="00662DAE" w:rsidP="002C74FC">
      <w:pPr>
        <w:pStyle w:val="MDPI31text"/>
        <w:rPr>
          <w:lang w:val="es-ES"/>
        </w:rPr>
      </w:pPr>
    </w:p>
    <w:p w14:paraId="210DE958" w14:textId="77777777" w:rsidR="00662DAE" w:rsidRDefault="00662DAE" w:rsidP="002C74FC">
      <w:pPr>
        <w:pStyle w:val="MDPI31text"/>
        <w:rPr>
          <w:lang w:val="es-ES"/>
        </w:rPr>
      </w:pPr>
      <w:r>
        <w:rPr>
          <w:lang w:val="es-ES"/>
        </w:rPr>
        <w:t>Los términos de búsqueda incluyeron combinaciones entre las diferentes alternativas terapéuticas y el término “</w:t>
      </w:r>
      <w:r w:rsidRPr="00662DAE">
        <w:rPr>
          <w:lang w:val="es-ES"/>
        </w:rPr>
        <w:t>irreparable rotator cuff tear</w:t>
      </w:r>
      <w:r>
        <w:rPr>
          <w:lang w:val="es-ES"/>
        </w:rPr>
        <w:t>”. La valoración de los artículos fue realizada tras la lectura del título, el resumen y las palabras clave.</w:t>
      </w:r>
    </w:p>
    <w:p w14:paraId="2DBD9BC7" w14:textId="77777777" w:rsidR="00297088" w:rsidRPr="00BE50A3" w:rsidRDefault="00297088" w:rsidP="002C74FC">
      <w:pPr>
        <w:pStyle w:val="MDPI31text"/>
        <w:rPr>
          <w:color w:val="auto"/>
          <w:lang w:val="es-ES"/>
        </w:rPr>
      </w:pPr>
    </w:p>
    <w:p w14:paraId="5E0DEDB8" w14:textId="77777777" w:rsidR="004001F2" w:rsidRPr="004001F2" w:rsidRDefault="00894D6B" w:rsidP="004001F2">
      <w:pPr>
        <w:pStyle w:val="MDPI21heading1"/>
        <w:numPr>
          <w:ilvl w:val="0"/>
          <w:numId w:val="19"/>
        </w:numPr>
        <w:rPr>
          <w:color w:val="auto"/>
          <w:lang w:val="es-ES"/>
        </w:rPr>
      </w:pPr>
      <w:r w:rsidRPr="00BE50A3">
        <w:rPr>
          <w:color w:val="auto"/>
          <w:lang w:val="es-ES"/>
        </w:rPr>
        <w:t>Resultados</w:t>
      </w:r>
    </w:p>
    <w:p w14:paraId="5765902C" w14:textId="77777777" w:rsidR="00287BE6" w:rsidRPr="00BE50A3" w:rsidRDefault="00DF2EEA" w:rsidP="00DF2EEA">
      <w:pPr>
        <w:pStyle w:val="MDPI31text"/>
        <w:rPr>
          <w:color w:val="auto"/>
          <w:lang w:val="es-ES"/>
        </w:rPr>
      </w:pPr>
      <w:r w:rsidRPr="00BE50A3">
        <w:rPr>
          <w:color w:val="auto"/>
          <w:lang w:val="es-ES"/>
        </w:rPr>
        <w:t xml:space="preserve">Entre las diferentes opciones </w:t>
      </w:r>
      <w:r w:rsidR="00BE50A3" w:rsidRPr="00BE50A3">
        <w:rPr>
          <w:color w:val="auto"/>
          <w:lang w:val="es-ES"/>
        </w:rPr>
        <w:t>de tratamiento quirúrgico</w:t>
      </w:r>
      <w:r w:rsidRPr="00BE50A3">
        <w:rPr>
          <w:color w:val="auto"/>
          <w:lang w:val="es-ES"/>
        </w:rPr>
        <w:t xml:space="preserve"> encontramos:</w:t>
      </w:r>
    </w:p>
    <w:p w14:paraId="6E58CA23" w14:textId="77777777" w:rsidR="00DF2EEA" w:rsidRPr="00BE50A3" w:rsidRDefault="00DF2EEA" w:rsidP="00DF2EEA">
      <w:pPr>
        <w:pStyle w:val="MDPI31text"/>
        <w:rPr>
          <w:color w:val="auto"/>
          <w:lang w:val="es-ES"/>
        </w:rPr>
      </w:pPr>
    </w:p>
    <w:p w14:paraId="5F4F9EF8" w14:textId="77777777" w:rsidR="00DF2EEA" w:rsidRPr="00BE50A3" w:rsidRDefault="00BE50A3" w:rsidP="00BE50A3">
      <w:pPr>
        <w:pStyle w:val="MDPI31text"/>
        <w:ind w:left="0" w:firstLine="0"/>
        <w:rPr>
          <w:b/>
          <w:color w:val="auto"/>
          <w:lang w:val="es-ES"/>
        </w:rPr>
      </w:pPr>
      <w:r>
        <w:rPr>
          <w:b/>
          <w:color w:val="auto"/>
          <w:lang w:val="es-ES"/>
        </w:rPr>
        <w:t xml:space="preserve">                          </w:t>
      </w:r>
      <w:r w:rsidR="00DF2EEA" w:rsidRPr="00BE50A3">
        <w:rPr>
          <w:b/>
          <w:color w:val="auto"/>
          <w:lang w:val="es-ES"/>
        </w:rPr>
        <w:t>3.1. Limpieza articular y descompresión subacrom</w:t>
      </w:r>
      <w:r w:rsidRPr="00BE50A3">
        <w:rPr>
          <w:b/>
          <w:color w:val="auto"/>
          <w:lang w:val="es-ES"/>
        </w:rPr>
        <w:t>i</w:t>
      </w:r>
      <w:r w:rsidR="00DF2EEA" w:rsidRPr="00BE50A3">
        <w:rPr>
          <w:b/>
          <w:color w:val="auto"/>
          <w:lang w:val="es-ES"/>
        </w:rPr>
        <w:t>al</w:t>
      </w:r>
    </w:p>
    <w:p w14:paraId="0C926C7C" w14:textId="4B843F99" w:rsidR="00DF2EEA" w:rsidRPr="00BE50A3" w:rsidRDefault="00DF2EEA" w:rsidP="00DF2EEA">
      <w:pPr>
        <w:pStyle w:val="MDPI31text"/>
        <w:rPr>
          <w:color w:val="auto"/>
          <w:lang w:val="es-ES"/>
        </w:rPr>
      </w:pPr>
      <w:r w:rsidRPr="00BE50A3">
        <w:rPr>
          <w:color w:val="auto"/>
          <w:lang w:val="es-ES"/>
        </w:rPr>
        <w:t xml:space="preserve">Supone el </w:t>
      </w:r>
      <w:r w:rsidR="00BE50A3" w:rsidRPr="00BE50A3">
        <w:rPr>
          <w:color w:val="auto"/>
          <w:lang w:val="es-ES"/>
        </w:rPr>
        <w:t>p</w:t>
      </w:r>
      <w:r w:rsidRPr="00BE50A3">
        <w:rPr>
          <w:color w:val="auto"/>
          <w:lang w:val="es-ES"/>
        </w:rPr>
        <w:t>rimer paso terapéu</w:t>
      </w:r>
      <w:r w:rsidR="00BE50A3" w:rsidRPr="00BE50A3">
        <w:rPr>
          <w:color w:val="auto"/>
          <w:lang w:val="es-ES"/>
        </w:rPr>
        <w:t>tico y muchas veces se asocia</w:t>
      </w:r>
      <w:r w:rsidR="00B05DD7" w:rsidRPr="00BE50A3">
        <w:rPr>
          <w:color w:val="auto"/>
          <w:lang w:val="es-ES"/>
        </w:rPr>
        <w:t xml:space="preserve"> a otras téc</w:t>
      </w:r>
      <w:r w:rsidR="004001F2">
        <w:rPr>
          <w:color w:val="auto"/>
          <w:lang w:val="es-ES"/>
        </w:rPr>
        <w:t>nicas, como son</w:t>
      </w:r>
      <w:r w:rsidR="00B05DD7" w:rsidRPr="00BE50A3">
        <w:rPr>
          <w:color w:val="auto"/>
          <w:lang w:val="es-ES"/>
        </w:rPr>
        <w:t xml:space="preserve"> la ten</w:t>
      </w:r>
      <w:r w:rsidR="00BE50A3" w:rsidRPr="00BE50A3">
        <w:rPr>
          <w:color w:val="auto"/>
          <w:lang w:val="es-ES"/>
        </w:rPr>
        <w:t>otomía o tenodesis de la porción larga del bí</w:t>
      </w:r>
      <w:r w:rsidR="00B05DD7" w:rsidRPr="00BE50A3">
        <w:rPr>
          <w:color w:val="auto"/>
          <w:lang w:val="es-ES"/>
        </w:rPr>
        <w:t>ceps.</w:t>
      </w:r>
      <w:r w:rsidR="007E1E45">
        <w:rPr>
          <w:color w:val="auto"/>
          <w:vertAlign w:val="superscript"/>
          <w:lang w:val="es-ES"/>
        </w:rPr>
        <w:t>6</w:t>
      </w:r>
      <w:r w:rsidR="00B05DD7" w:rsidRPr="00BE50A3">
        <w:rPr>
          <w:color w:val="auto"/>
          <w:lang w:val="es-ES"/>
        </w:rPr>
        <w:t xml:space="preserve"> </w:t>
      </w:r>
    </w:p>
    <w:p w14:paraId="68588319" w14:textId="77777777" w:rsidR="00BE50A3" w:rsidRPr="00BE50A3" w:rsidRDefault="00BE50A3" w:rsidP="00DF2EEA">
      <w:pPr>
        <w:pStyle w:val="MDPI31text"/>
        <w:rPr>
          <w:color w:val="auto"/>
          <w:lang w:val="es-ES"/>
        </w:rPr>
      </w:pPr>
    </w:p>
    <w:p w14:paraId="26AA3CD0" w14:textId="77777777" w:rsidR="00B05DD7" w:rsidRPr="0019063D" w:rsidRDefault="00B05DD7" w:rsidP="00DF2EEA">
      <w:pPr>
        <w:pStyle w:val="MDPI31text"/>
        <w:rPr>
          <w:color w:val="auto"/>
          <w:vertAlign w:val="superscript"/>
          <w:lang w:val="es-ES"/>
        </w:rPr>
      </w:pPr>
      <w:r w:rsidRPr="00BE50A3">
        <w:rPr>
          <w:color w:val="auto"/>
          <w:lang w:val="es-ES"/>
        </w:rPr>
        <w:t>En la bibliografía se defiende que podemos trabajar la porc</w:t>
      </w:r>
      <w:r w:rsidR="00BE50A3" w:rsidRPr="00BE50A3">
        <w:rPr>
          <w:color w:val="auto"/>
          <w:lang w:val="es-ES"/>
        </w:rPr>
        <w:t>ión articular del acromion con b</w:t>
      </w:r>
      <w:r w:rsidRPr="00BE50A3">
        <w:rPr>
          <w:color w:val="auto"/>
          <w:lang w:val="es-ES"/>
        </w:rPr>
        <w:t>uenos resultados cuando la distancia entre el mismo y la cabeza humeral es mayor de 6 mm.</w:t>
      </w:r>
      <w:r w:rsidR="007E1E45">
        <w:rPr>
          <w:color w:val="auto"/>
          <w:vertAlign w:val="superscript"/>
          <w:lang w:val="es-ES"/>
        </w:rPr>
        <w:t>7</w:t>
      </w:r>
    </w:p>
    <w:p w14:paraId="6BEBAC29" w14:textId="77777777" w:rsidR="00B05DD7" w:rsidRPr="00BE50A3" w:rsidRDefault="00B05DD7" w:rsidP="00DF2EEA">
      <w:pPr>
        <w:pStyle w:val="MDPI31text"/>
        <w:rPr>
          <w:color w:val="auto"/>
          <w:lang w:val="es-ES"/>
        </w:rPr>
      </w:pPr>
    </w:p>
    <w:p w14:paraId="4B388E5D" w14:textId="620613B6" w:rsidR="00B05DD7" w:rsidRPr="00BE50A3" w:rsidRDefault="00BE50A3" w:rsidP="00BE50A3">
      <w:pPr>
        <w:pStyle w:val="MDPI31text"/>
        <w:ind w:left="0" w:firstLine="0"/>
        <w:rPr>
          <w:b/>
          <w:color w:val="auto"/>
          <w:lang w:val="es-ES"/>
        </w:rPr>
      </w:pPr>
      <w:r>
        <w:rPr>
          <w:b/>
          <w:color w:val="auto"/>
          <w:lang w:val="es-ES"/>
        </w:rPr>
        <w:t xml:space="preserve">                          </w:t>
      </w:r>
      <w:r w:rsidRPr="00BE50A3">
        <w:rPr>
          <w:b/>
          <w:color w:val="auto"/>
          <w:lang w:val="es-ES"/>
        </w:rPr>
        <w:t xml:space="preserve">3.2. Tenotomía y tenodesis de la porción larga del </w:t>
      </w:r>
      <w:r w:rsidR="006C3A32" w:rsidRPr="00BE50A3">
        <w:rPr>
          <w:b/>
          <w:color w:val="auto"/>
          <w:lang w:val="es-ES"/>
        </w:rPr>
        <w:t>b</w:t>
      </w:r>
      <w:r w:rsidR="006C3A32">
        <w:rPr>
          <w:b/>
          <w:color w:val="auto"/>
          <w:lang w:val="es-ES"/>
        </w:rPr>
        <w:t>í</w:t>
      </w:r>
      <w:r w:rsidR="006C3A32" w:rsidRPr="00BE50A3">
        <w:rPr>
          <w:b/>
          <w:color w:val="auto"/>
          <w:lang w:val="es-ES"/>
        </w:rPr>
        <w:t>c</w:t>
      </w:r>
      <w:r w:rsidR="006C3A32">
        <w:rPr>
          <w:b/>
          <w:color w:val="auto"/>
          <w:lang w:val="es-ES"/>
        </w:rPr>
        <w:t>ep</w:t>
      </w:r>
      <w:r w:rsidR="006C3A32" w:rsidRPr="00BE50A3">
        <w:rPr>
          <w:b/>
          <w:color w:val="auto"/>
          <w:lang w:val="es-ES"/>
        </w:rPr>
        <w:t>s</w:t>
      </w:r>
    </w:p>
    <w:p w14:paraId="53BA6E29" w14:textId="1C1B9A11" w:rsidR="00BE50A3" w:rsidRPr="00EF68A4" w:rsidRDefault="00BE50A3" w:rsidP="00DF2EEA">
      <w:pPr>
        <w:pStyle w:val="MDPI31text"/>
        <w:rPr>
          <w:color w:val="auto"/>
          <w:lang w:val="es-ES"/>
        </w:rPr>
      </w:pPr>
      <w:r w:rsidRPr="00BE50A3">
        <w:rPr>
          <w:color w:val="auto"/>
          <w:lang w:val="es-ES"/>
        </w:rPr>
        <w:t xml:space="preserve">Este gesto quirúrgico es de por sí un tratamiento. La mayor parte de los pacientes con lesiones del manguito rotador también tienen una lesión en dicha </w:t>
      </w:r>
      <w:r w:rsidR="004001F2">
        <w:rPr>
          <w:color w:val="auto"/>
          <w:lang w:val="es-ES"/>
        </w:rPr>
        <w:t>estructura</w:t>
      </w:r>
      <w:r w:rsidRPr="00BE50A3">
        <w:rPr>
          <w:color w:val="auto"/>
          <w:lang w:val="es-ES"/>
        </w:rPr>
        <w:t xml:space="preserve"> anatómica, por lo que su sección (tenotomía) disminuye de manera sustancial el dolor. Además, se puede </w:t>
      </w:r>
      <w:r w:rsidRPr="00EF68A4">
        <w:rPr>
          <w:color w:val="auto"/>
          <w:lang w:val="es-ES"/>
        </w:rPr>
        <w:t>asociar o no a la inserci</w:t>
      </w:r>
      <w:r w:rsidR="004001F2">
        <w:rPr>
          <w:color w:val="auto"/>
          <w:lang w:val="es-ES"/>
        </w:rPr>
        <w:t xml:space="preserve">ón de esta porción distal </w:t>
      </w:r>
      <w:r w:rsidRPr="00EF68A4">
        <w:rPr>
          <w:color w:val="auto"/>
          <w:lang w:val="es-ES"/>
        </w:rPr>
        <w:t>(tenodesis), aunque esto último se realiza en pacientes más jóvenes.</w:t>
      </w:r>
    </w:p>
    <w:p w14:paraId="3220F5B5" w14:textId="77777777" w:rsidR="00BE50A3" w:rsidRPr="00EF68A4" w:rsidRDefault="00BE50A3" w:rsidP="00DF2EEA">
      <w:pPr>
        <w:pStyle w:val="MDPI31text"/>
        <w:rPr>
          <w:color w:val="auto"/>
          <w:lang w:val="es-ES"/>
        </w:rPr>
      </w:pPr>
    </w:p>
    <w:p w14:paraId="357F004A" w14:textId="77777777" w:rsidR="00B05DD7" w:rsidRPr="00EF68A4" w:rsidRDefault="00BE50A3" w:rsidP="00BE50A3">
      <w:pPr>
        <w:pStyle w:val="MDPI31text"/>
        <w:ind w:left="0" w:firstLine="0"/>
        <w:rPr>
          <w:b/>
          <w:color w:val="auto"/>
          <w:lang w:val="es-ES"/>
        </w:rPr>
      </w:pPr>
      <w:r w:rsidRPr="00EF68A4">
        <w:rPr>
          <w:b/>
          <w:color w:val="auto"/>
          <w:lang w:val="es-ES"/>
        </w:rPr>
        <w:t xml:space="preserve">                         3.3</w:t>
      </w:r>
      <w:r w:rsidR="00B05DD7" w:rsidRPr="00EF68A4">
        <w:rPr>
          <w:b/>
          <w:color w:val="auto"/>
          <w:lang w:val="es-ES"/>
        </w:rPr>
        <w:t>. Balón subacromial</w:t>
      </w:r>
    </w:p>
    <w:p w14:paraId="643AE10F" w14:textId="286FF662" w:rsidR="00B05DD7" w:rsidRDefault="00B05DD7" w:rsidP="00DF2EEA">
      <w:pPr>
        <w:pStyle w:val="MDPI31text"/>
        <w:rPr>
          <w:color w:val="auto"/>
          <w:lang w:val="es-ES"/>
        </w:rPr>
      </w:pPr>
      <w:r w:rsidRPr="00EF68A4">
        <w:rPr>
          <w:color w:val="auto"/>
          <w:lang w:val="es-ES"/>
        </w:rPr>
        <w:t>Dispositivo inflable,</w:t>
      </w:r>
      <w:r w:rsidR="00BE50A3" w:rsidRPr="00EF68A4">
        <w:rPr>
          <w:color w:val="auto"/>
          <w:lang w:val="es-ES"/>
        </w:rPr>
        <w:t xml:space="preserve"> rellenable con suero fisiológico y</w:t>
      </w:r>
      <w:r w:rsidRPr="00EF68A4">
        <w:rPr>
          <w:color w:val="auto"/>
          <w:lang w:val="es-ES"/>
        </w:rPr>
        <w:t xml:space="preserve"> biodegradable </w:t>
      </w:r>
      <w:r w:rsidR="00BE50A3" w:rsidRPr="00EF68A4">
        <w:rPr>
          <w:color w:val="auto"/>
          <w:lang w:val="es-ES"/>
        </w:rPr>
        <w:t>a los</w:t>
      </w:r>
      <w:r w:rsidRPr="00EF68A4">
        <w:rPr>
          <w:color w:val="auto"/>
          <w:lang w:val="es-ES"/>
        </w:rPr>
        <w:t xml:space="preserve"> </w:t>
      </w:r>
      <w:r w:rsidR="00BE50A3" w:rsidRPr="00EF68A4">
        <w:rPr>
          <w:color w:val="auto"/>
          <w:lang w:val="es-ES"/>
        </w:rPr>
        <w:t>6-</w:t>
      </w:r>
      <w:r w:rsidRPr="00EF68A4">
        <w:rPr>
          <w:color w:val="auto"/>
          <w:lang w:val="es-ES"/>
        </w:rPr>
        <w:t>12 meses, que se coloca entre la cabeza humeral y el acromion, evitando así el a</w:t>
      </w:r>
      <w:r w:rsidR="006C3A32">
        <w:rPr>
          <w:color w:val="auto"/>
          <w:lang w:val="es-ES"/>
        </w:rPr>
        <w:t>s</w:t>
      </w:r>
      <w:r w:rsidRPr="00EF68A4">
        <w:rPr>
          <w:color w:val="auto"/>
          <w:lang w:val="es-ES"/>
        </w:rPr>
        <w:t xml:space="preserve">censo </w:t>
      </w:r>
      <w:r w:rsidR="00BE50A3" w:rsidRPr="00EF68A4">
        <w:rPr>
          <w:color w:val="auto"/>
          <w:lang w:val="es-ES"/>
        </w:rPr>
        <w:t>de la cabeza.</w:t>
      </w:r>
      <w:r w:rsidR="00C1170B">
        <w:rPr>
          <w:color w:val="auto"/>
          <w:vertAlign w:val="superscript"/>
          <w:lang w:val="es-ES"/>
        </w:rPr>
        <w:t>2</w:t>
      </w:r>
      <w:r w:rsidRPr="00EF68A4">
        <w:rPr>
          <w:color w:val="auto"/>
          <w:lang w:val="es-ES"/>
        </w:rPr>
        <w:t xml:space="preserve"> </w:t>
      </w:r>
    </w:p>
    <w:p w14:paraId="41D8F5E8" w14:textId="77777777" w:rsidR="004001F2" w:rsidRPr="00EF68A4" w:rsidRDefault="004001F2" w:rsidP="00DF2EEA">
      <w:pPr>
        <w:pStyle w:val="MDPI31text"/>
        <w:rPr>
          <w:color w:val="auto"/>
          <w:lang w:val="es-ES"/>
        </w:rPr>
      </w:pPr>
    </w:p>
    <w:p w14:paraId="3B5EAFFB" w14:textId="77777777" w:rsidR="00B05DD7" w:rsidRDefault="00B05DD7" w:rsidP="00DF2EEA">
      <w:pPr>
        <w:pStyle w:val="MDPI31text"/>
        <w:rPr>
          <w:color w:val="auto"/>
          <w:lang w:val="es-ES"/>
        </w:rPr>
      </w:pPr>
      <w:r w:rsidRPr="00EF68A4">
        <w:rPr>
          <w:color w:val="auto"/>
          <w:lang w:val="es-ES"/>
        </w:rPr>
        <w:t>Se puede colocar de</w:t>
      </w:r>
      <w:r w:rsidR="00BE50A3" w:rsidRPr="00EF68A4">
        <w:rPr>
          <w:color w:val="auto"/>
          <w:lang w:val="es-ES"/>
        </w:rPr>
        <w:t xml:space="preserve"> manera percutánea o bajo visión</w:t>
      </w:r>
      <w:r w:rsidRPr="00EF68A4">
        <w:rPr>
          <w:color w:val="auto"/>
          <w:lang w:val="es-ES"/>
        </w:rPr>
        <w:t xml:space="preserve"> artr</w:t>
      </w:r>
      <w:r w:rsidR="00BE50A3" w:rsidRPr="00EF68A4">
        <w:rPr>
          <w:color w:val="auto"/>
          <w:lang w:val="es-ES"/>
        </w:rPr>
        <w:t>oscópica, y suele ser una opción</w:t>
      </w:r>
      <w:r w:rsidRPr="00EF68A4">
        <w:rPr>
          <w:color w:val="auto"/>
          <w:lang w:val="es-ES"/>
        </w:rPr>
        <w:t xml:space="preserve"> terapéutica única o asociada a otra té</w:t>
      </w:r>
      <w:r w:rsidR="00BE50A3" w:rsidRPr="00EF68A4">
        <w:rPr>
          <w:color w:val="auto"/>
          <w:lang w:val="es-ES"/>
        </w:rPr>
        <w:t>cnic</w:t>
      </w:r>
      <w:r w:rsidRPr="00EF68A4">
        <w:rPr>
          <w:color w:val="auto"/>
          <w:lang w:val="es-ES"/>
        </w:rPr>
        <w:t xml:space="preserve">a. </w:t>
      </w:r>
    </w:p>
    <w:p w14:paraId="3A91FCD6" w14:textId="77777777" w:rsidR="004001F2" w:rsidRPr="00EF68A4" w:rsidRDefault="004001F2" w:rsidP="00DF2EEA">
      <w:pPr>
        <w:pStyle w:val="MDPI31text"/>
        <w:rPr>
          <w:color w:val="auto"/>
          <w:lang w:val="es-ES"/>
        </w:rPr>
      </w:pPr>
    </w:p>
    <w:p w14:paraId="0D9D709E" w14:textId="3E09273C" w:rsidR="004013CF" w:rsidRPr="00EF68A4" w:rsidRDefault="00B05DD7" w:rsidP="00EF68A4">
      <w:pPr>
        <w:pStyle w:val="MDPI31text"/>
        <w:rPr>
          <w:color w:val="auto"/>
          <w:lang w:val="es-ES"/>
        </w:rPr>
      </w:pPr>
      <w:r w:rsidRPr="00EF68A4">
        <w:rPr>
          <w:color w:val="auto"/>
          <w:lang w:val="es-ES"/>
        </w:rPr>
        <w:t>Como contraindicación destaca la insuficiencia o rotura irreparable del sub</w:t>
      </w:r>
      <w:r w:rsidR="009D2DDE">
        <w:rPr>
          <w:color w:val="auto"/>
          <w:lang w:val="es-ES"/>
        </w:rPr>
        <w:t>e</w:t>
      </w:r>
      <w:r w:rsidRPr="00EF68A4">
        <w:rPr>
          <w:color w:val="auto"/>
          <w:lang w:val="es-ES"/>
        </w:rPr>
        <w:t xml:space="preserve">scapular, debido al </w:t>
      </w:r>
      <w:r w:rsidR="00BE50A3" w:rsidRPr="00EF68A4">
        <w:rPr>
          <w:color w:val="auto"/>
          <w:lang w:val="es-ES"/>
        </w:rPr>
        <w:t>riesgo de migración</w:t>
      </w:r>
      <w:r w:rsidRPr="00EF68A4">
        <w:rPr>
          <w:color w:val="auto"/>
          <w:lang w:val="es-ES"/>
        </w:rPr>
        <w:t xml:space="preserve"> anterior.</w:t>
      </w:r>
    </w:p>
    <w:p w14:paraId="6BF60CD3" w14:textId="77777777" w:rsidR="004013CF" w:rsidRPr="0099679C" w:rsidRDefault="004013CF" w:rsidP="00DF2EEA">
      <w:pPr>
        <w:pStyle w:val="MDPI31text"/>
        <w:rPr>
          <w:color w:val="FF0000"/>
          <w:lang w:val="es-ES"/>
        </w:rPr>
      </w:pPr>
    </w:p>
    <w:p w14:paraId="5956FA07" w14:textId="77777777" w:rsidR="004013CF" w:rsidRPr="00EF68A4" w:rsidRDefault="00EF68A4" w:rsidP="00EF68A4">
      <w:pPr>
        <w:pStyle w:val="MDPI31text"/>
        <w:ind w:left="0" w:firstLine="0"/>
        <w:rPr>
          <w:b/>
          <w:color w:val="auto"/>
          <w:lang w:val="es-ES"/>
        </w:rPr>
      </w:pPr>
      <w:r>
        <w:rPr>
          <w:color w:val="FF0000"/>
          <w:lang w:val="es-ES"/>
        </w:rPr>
        <w:t xml:space="preserve">                         </w:t>
      </w:r>
      <w:r w:rsidR="004013CF" w:rsidRPr="00EF68A4">
        <w:rPr>
          <w:b/>
          <w:color w:val="auto"/>
          <w:lang w:val="es-ES"/>
        </w:rPr>
        <w:t>3.4. Reconstrucción capsular superior</w:t>
      </w:r>
    </w:p>
    <w:p w14:paraId="78C2D6A6" w14:textId="77777777" w:rsidR="004013CF" w:rsidRPr="00C1170B" w:rsidRDefault="004013CF" w:rsidP="00DF2EEA">
      <w:pPr>
        <w:pStyle w:val="MDPI31text"/>
        <w:rPr>
          <w:color w:val="auto"/>
          <w:vertAlign w:val="superscript"/>
          <w:lang w:val="es-ES"/>
        </w:rPr>
      </w:pPr>
      <w:r w:rsidRPr="00EF68A4">
        <w:rPr>
          <w:color w:val="auto"/>
          <w:lang w:val="es-ES"/>
        </w:rPr>
        <w:t>La reconstrucción de la cápsula superior tiene el objetivo de restituir el brazo de palanca y la fuerza de abduc</w:t>
      </w:r>
      <w:r w:rsidR="00EF68A4" w:rsidRPr="00EF68A4">
        <w:rPr>
          <w:color w:val="auto"/>
          <w:lang w:val="es-ES"/>
        </w:rPr>
        <w:t>c</w:t>
      </w:r>
      <w:r w:rsidRPr="00EF68A4">
        <w:rPr>
          <w:color w:val="auto"/>
          <w:lang w:val="es-ES"/>
        </w:rPr>
        <w:t>ión, para así evitar la elevación de la cabeza humeral y que entre en contacto la misma con el acromion.</w:t>
      </w:r>
      <w:r w:rsidR="00C1170B">
        <w:rPr>
          <w:color w:val="auto"/>
          <w:vertAlign w:val="superscript"/>
          <w:lang w:val="es-ES"/>
        </w:rPr>
        <w:t>2</w:t>
      </w:r>
    </w:p>
    <w:p w14:paraId="65B1A506" w14:textId="77777777" w:rsidR="004013CF" w:rsidRPr="00EF68A4" w:rsidRDefault="004013CF" w:rsidP="00DF2EEA">
      <w:pPr>
        <w:pStyle w:val="MDPI31text"/>
        <w:rPr>
          <w:color w:val="auto"/>
          <w:lang w:val="es-ES"/>
        </w:rPr>
      </w:pPr>
    </w:p>
    <w:p w14:paraId="6B14C7A5" w14:textId="77777777" w:rsidR="004013CF" w:rsidRPr="0019063D" w:rsidRDefault="004013CF" w:rsidP="004013CF">
      <w:pPr>
        <w:pStyle w:val="MDPI31text"/>
        <w:rPr>
          <w:color w:val="auto"/>
          <w:vertAlign w:val="superscript"/>
          <w:lang w:val="es-ES"/>
        </w:rPr>
      </w:pPr>
      <w:r w:rsidRPr="00EF68A4">
        <w:rPr>
          <w:color w:val="auto"/>
          <w:lang w:val="es-ES"/>
        </w:rPr>
        <w:t xml:space="preserve">Las indicaciones para esta técnica quirúrgica </w:t>
      </w:r>
      <w:r w:rsidR="00EF68A4" w:rsidRPr="00EF68A4">
        <w:rPr>
          <w:color w:val="auto"/>
          <w:lang w:val="es-ES"/>
        </w:rPr>
        <w:t>son</w:t>
      </w:r>
      <w:r w:rsidRPr="00EF68A4">
        <w:rPr>
          <w:color w:val="auto"/>
          <w:lang w:val="es-ES"/>
        </w:rPr>
        <w:t xml:space="preserve"> la lesión irreparable del supra y/o infraespinoso, Hamada 1-2 y que tengan un subescapular íntegro o reparable para así mantener un adecuado balance horizontal</w:t>
      </w:r>
      <w:r w:rsidR="004001F2">
        <w:rPr>
          <w:color w:val="auto"/>
          <w:lang w:val="es-ES"/>
        </w:rPr>
        <w:t>. De</w:t>
      </w:r>
      <w:r w:rsidRPr="00EF68A4">
        <w:rPr>
          <w:color w:val="auto"/>
          <w:lang w:val="es-ES"/>
        </w:rPr>
        <w:t xml:space="preserve"> lo contrario, habría una pseudoparálisis.</w:t>
      </w:r>
      <w:r w:rsidR="007E1E45">
        <w:rPr>
          <w:color w:val="auto"/>
          <w:vertAlign w:val="superscript"/>
          <w:lang w:val="es-ES"/>
        </w:rPr>
        <w:t>8,9</w:t>
      </w:r>
    </w:p>
    <w:p w14:paraId="173BF76F" w14:textId="77777777" w:rsidR="004013CF" w:rsidRPr="00EF68A4" w:rsidRDefault="004013CF" w:rsidP="00DF2EEA">
      <w:pPr>
        <w:pStyle w:val="MDPI31text"/>
        <w:rPr>
          <w:color w:val="auto"/>
          <w:lang w:val="es-ES"/>
        </w:rPr>
      </w:pPr>
    </w:p>
    <w:p w14:paraId="729025C7" w14:textId="77777777" w:rsidR="004013CF" w:rsidRDefault="00EF68A4" w:rsidP="004013CF">
      <w:pPr>
        <w:pStyle w:val="MDPI31text"/>
        <w:rPr>
          <w:color w:val="auto"/>
          <w:lang w:val="es-ES"/>
        </w:rPr>
      </w:pPr>
      <w:r w:rsidRPr="00EF68A4">
        <w:rPr>
          <w:color w:val="auto"/>
          <w:lang w:val="es-ES"/>
        </w:rPr>
        <w:t>Entre los diferente</w:t>
      </w:r>
      <w:r w:rsidR="004001F2">
        <w:rPr>
          <w:color w:val="auto"/>
          <w:lang w:val="es-ES"/>
        </w:rPr>
        <w:t>s</w:t>
      </w:r>
      <w:r w:rsidRPr="00EF68A4">
        <w:rPr>
          <w:color w:val="auto"/>
          <w:lang w:val="es-ES"/>
        </w:rPr>
        <w:t xml:space="preserve"> tipos de injertos utilizados se encuentran el autólogo con fascia lata, utilizado por </w:t>
      </w:r>
      <w:r w:rsidR="00655307">
        <w:rPr>
          <w:color w:val="auto"/>
          <w:lang w:val="es-ES"/>
        </w:rPr>
        <w:t>Mihata</w:t>
      </w:r>
      <w:r w:rsidR="007E1E45">
        <w:rPr>
          <w:color w:val="auto"/>
          <w:vertAlign w:val="superscript"/>
          <w:lang w:val="es-ES"/>
        </w:rPr>
        <w:t>9</w:t>
      </w:r>
      <w:r w:rsidR="004013CF" w:rsidRPr="00EF68A4">
        <w:rPr>
          <w:color w:val="auto"/>
          <w:lang w:val="es-ES"/>
        </w:rPr>
        <w:t xml:space="preserve">, </w:t>
      </w:r>
      <w:r w:rsidRPr="00EF68A4">
        <w:rPr>
          <w:color w:val="auto"/>
          <w:lang w:val="es-ES"/>
        </w:rPr>
        <w:t xml:space="preserve">el aloinjerto a partir de matriz dérmica celular (obtenido de dermis de región lumbar de cadáver) y el uso de la porción larga del bíceps para realizar una aumentación con la misma. </w:t>
      </w:r>
    </w:p>
    <w:p w14:paraId="1F0635F0" w14:textId="77777777" w:rsidR="004001F2" w:rsidRPr="00EF68A4" w:rsidRDefault="004001F2" w:rsidP="004013CF">
      <w:pPr>
        <w:pStyle w:val="MDPI31text"/>
        <w:rPr>
          <w:color w:val="auto"/>
          <w:lang w:val="es-ES"/>
        </w:rPr>
      </w:pPr>
    </w:p>
    <w:p w14:paraId="4C4FE837" w14:textId="7CB5F8C0" w:rsidR="004013CF" w:rsidRPr="00EF68A4" w:rsidRDefault="00EF68A4" w:rsidP="00EF68A4">
      <w:pPr>
        <w:pStyle w:val="MDPI31text"/>
        <w:ind w:left="0" w:firstLine="0"/>
        <w:rPr>
          <w:b/>
          <w:color w:val="FF0000"/>
          <w:lang w:val="es-ES"/>
        </w:rPr>
      </w:pPr>
      <w:r w:rsidRPr="00EF68A4">
        <w:rPr>
          <w:b/>
          <w:color w:val="FF0000"/>
          <w:lang w:val="es-ES"/>
        </w:rPr>
        <w:t xml:space="preserve">                </w:t>
      </w:r>
      <w:r w:rsidRPr="00EF68A4">
        <w:rPr>
          <w:b/>
          <w:color w:val="auto"/>
          <w:lang w:val="es-ES"/>
        </w:rPr>
        <w:t xml:space="preserve">          </w:t>
      </w:r>
      <w:r w:rsidR="004013CF" w:rsidRPr="00EF68A4">
        <w:rPr>
          <w:b/>
          <w:color w:val="auto"/>
          <w:lang w:val="es-ES"/>
        </w:rPr>
        <w:t>3.5. Tra</w:t>
      </w:r>
      <w:r w:rsidR="006C3A32">
        <w:rPr>
          <w:b/>
          <w:color w:val="auto"/>
          <w:lang w:val="es-ES"/>
        </w:rPr>
        <w:t>n</w:t>
      </w:r>
      <w:r w:rsidR="004013CF" w:rsidRPr="00EF68A4">
        <w:rPr>
          <w:b/>
          <w:color w:val="auto"/>
          <w:lang w:val="es-ES"/>
        </w:rPr>
        <w:t>sferencias</w:t>
      </w:r>
    </w:p>
    <w:p w14:paraId="308C7061" w14:textId="61FCB3C2" w:rsidR="00EF68A4" w:rsidRPr="00C1170B" w:rsidRDefault="00EF68A4" w:rsidP="004013CF">
      <w:pPr>
        <w:pStyle w:val="MDPI31text"/>
        <w:rPr>
          <w:color w:val="auto"/>
          <w:vertAlign w:val="superscript"/>
          <w:lang w:val="es-ES"/>
        </w:rPr>
      </w:pPr>
      <w:r w:rsidRPr="00EF68A4">
        <w:rPr>
          <w:color w:val="auto"/>
          <w:lang w:val="es-ES"/>
        </w:rPr>
        <w:lastRenderedPageBreak/>
        <w:t xml:space="preserve">La población objetivo </w:t>
      </w:r>
      <w:r w:rsidR="004001F2" w:rsidRPr="00EF68A4">
        <w:rPr>
          <w:color w:val="auto"/>
          <w:lang w:val="es-ES"/>
        </w:rPr>
        <w:t>subsidiaria</w:t>
      </w:r>
      <w:r w:rsidRPr="00EF68A4">
        <w:rPr>
          <w:color w:val="auto"/>
          <w:lang w:val="es-ES"/>
        </w:rPr>
        <w:t xml:space="preserve"> de este tratamiento son </w:t>
      </w:r>
      <w:r w:rsidR="001D053C">
        <w:rPr>
          <w:color w:val="auto"/>
          <w:lang w:val="es-ES"/>
        </w:rPr>
        <w:t>pacientes jóvenes (menores de 65 años) con lesiones irreparables</w:t>
      </w:r>
      <w:r w:rsidRPr="00EF68A4">
        <w:rPr>
          <w:color w:val="auto"/>
          <w:lang w:val="es-ES"/>
        </w:rPr>
        <w:t xml:space="preserve"> del manguito rotador</w:t>
      </w:r>
      <w:r w:rsidR="001D053C">
        <w:rPr>
          <w:color w:val="auto"/>
          <w:lang w:val="es-ES"/>
        </w:rPr>
        <w:t xml:space="preserve">, </w:t>
      </w:r>
      <w:r w:rsidRPr="00EF68A4">
        <w:rPr>
          <w:color w:val="auto"/>
          <w:lang w:val="es-ES"/>
        </w:rPr>
        <w:t>Hamada 1-2 con adecuada preservación ósea.</w:t>
      </w:r>
      <w:r w:rsidR="00C1170B">
        <w:rPr>
          <w:color w:val="auto"/>
          <w:vertAlign w:val="superscript"/>
          <w:lang w:val="es-ES"/>
        </w:rPr>
        <w:t>2</w:t>
      </w:r>
    </w:p>
    <w:p w14:paraId="16C01062" w14:textId="77777777" w:rsidR="004013CF" w:rsidRPr="00EF68A4" w:rsidRDefault="004013CF" w:rsidP="00EF68A4">
      <w:pPr>
        <w:pStyle w:val="MDPI31text"/>
        <w:rPr>
          <w:color w:val="auto"/>
          <w:lang w:val="es-ES"/>
        </w:rPr>
      </w:pPr>
      <w:r w:rsidRPr="00EF68A4">
        <w:rPr>
          <w:color w:val="auto"/>
          <w:lang w:val="es-ES"/>
        </w:rPr>
        <w:t>.</w:t>
      </w:r>
    </w:p>
    <w:p w14:paraId="61413C97" w14:textId="2822644A" w:rsidR="004013CF" w:rsidRPr="00EF68A4" w:rsidRDefault="004013CF" w:rsidP="004013CF">
      <w:pPr>
        <w:pStyle w:val="MDPI31text"/>
        <w:rPr>
          <w:color w:val="auto"/>
          <w:lang w:val="es-ES"/>
        </w:rPr>
      </w:pPr>
      <w:r w:rsidRPr="00EF68A4">
        <w:rPr>
          <w:color w:val="auto"/>
          <w:lang w:val="es-ES"/>
        </w:rPr>
        <w:t>Para que una transferencia tenga éxito, tenemos que seguir los siguientes principios: que el músculo a transferir tenga una línea de tracción, tensión y excursión similares al músculo a s</w:t>
      </w:r>
      <w:r w:rsidR="001D053C">
        <w:rPr>
          <w:color w:val="auto"/>
          <w:lang w:val="es-ES"/>
        </w:rPr>
        <w:t>ustituir; q</w:t>
      </w:r>
      <w:r w:rsidRPr="00EF68A4">
        <w:rPr>
          <w:color w:val="auto"/>
          <w:lang w:val="es-ES"/>
        </w:rPr>
        <w:t>ue hagamos una transferencia por cada función perdida, y que la función del músculo donante sea obviamente normal.</w:t>
      </w:r>
    </w:p>
    <w:p w14:paraId="1EBE6784" w14:textId="77777777" w:rsidR="00EF68A4" w:rsidRPr="00423E1F" w:rsidRDefault="00EF68A4" w:rsidP="004013CF">
      <w:pPr>
        <w:pStyle w:val="MDPI31text"/>
        <w:rPr>
          <w:color w:val="auto"/>
          <w:lang w:val="es-ES"/>
        </w:rPr>
      </w:pPr>
    </w:p>
    <w:p w14:paraId="0995F3B2" w14:textId="618E9EEE" w:rsidR="004013CF" w:rsidRPr="00423E1F" w:rsidRDefault="004013CF" w:rsidP="004013CF">
      <w:pPr>
        <w:pStyle w:val="MDPI31text"/>
        <w:rPr>
          <w:color w:val="auto"/>
          <w:lang w:val="es-ES"/>
        </w:rPr>
      </w:pPr>
      <w:r w:rsidRPr="00423E1F">
        <w:rPr>
          <w:color w:val="auto"/>
          <w:lang w:val="es-ES"/>
        </w:rPr>
        <w:t>De esta forma, los músculos más usados para las rupturas posterosuperiores</w:t>
      </w:r>
      <w:r w:rsidR="00423E1F" w:rsidRPr="00423E1F">
        <w:rPr>
          <w:color w:val="auto"/>
          <w:lang w:val="es-ES"/>
        </w:rPr>
        <w:t>, en las cuales se quiere sustituir la función del infraespinoso,</w:t>
      </w:r>
      <w:r w:rsidRPr="00423E1F">
        <w:rPr>
          <w:color w:val="auto"/>
          <w:lang w:val="es-ES"/>
        </w:rPr>
        <w:t xml:space="preserve"> son el do</w:t>
      </w:r>
      <w:r w:rsidR="00EF68A4" w:rsidRPr="00423E1F">
        <w:rPr>
          <w:color w:val="auto"/>
          <w:lang w:val="es-ES"/>
        </w:rPr>
        <w:t>r</w:t>
      </w:r>
      <w:r w:rsidRPr="00423E1F">
        <w:rPr>
          <w:color w:val="auto"/>
          <w:lang w:val="es-ES"/>
        </w:rPr>
        <w:t>sal ancho, el redon</w:t>
      </w:r>
      <w:r w:rsidR="00423E1F" w:rsidRPr="00423E1F">
        <w:rPr>
          <w:color w:val="auto"/>
          <w:lang w:val="es-ES"/>
        </w:rPr>
        <w:t>do mayor y el trapecio inferior;</w:t>
      </w:r>
      <w:r w:rsidRPr="00423E1F">
        <w:rPr>
          <w:color w:val="auto"/>
          <w:lang w:val="es-ES"/>
        </w:rPr>
        <w:t xml:space="preserve"> y para las anterosuperiores</w:t>
      </w:r>
      <w:r w:rsidR="00423E1F" w:rsidRPr="00423E1F">
        <w:rPr>
          <w:color w:val="auto"/>
          <w:lang w:val="es-ES"/>
        </w:rPr>
        <w:t xml:space="preserve">, en las cuales queremos </w:t>
      </w:r>
      <w:r w:rsidR="006C3A32" w:rsidRPr="00423E1F">
        <w:rPr>
          <w:color w:val="auto"/>
          <w:lang w:val="es-ES"/>
        </w:rPr>
        <w:t>sustituir</w:t>
      </w:r>
      <w:r w:rsidR="00423E1F" w:rsidRPr="00423E1F">
        <w:rPr>
          <w:color w:val="auto"/>
          <w:lang w:val="es-ES"/>
        </w:rPr>
        <w:t xml:space="preserve"> la función del subescapular,</w:t>
      </w:r>
      <w:r w:rsidRPr="00423E1F">
        <w:rPr>
          <w:color w:val="auto"/>
          <w:lang w:val="es-ES"/>
        </w:rPr>
        <w:t xml:space="preserve"> el pectoral mayor y el dorsal ancho.</w:t>
      </w:r>
    </w:p>
    <w:p w14:paraId="58B2A4BE" w14:textId="77777777" w:rsidR="004013CF" w:rsidRPr="00423E1F" w:rsidRDefault="004013CF" w:rsidP="004013CF">
      <w:pPr>
        <w:pStyle w:val="MDPI31text"/>
        <w:rPr>
          <w:color w:val="auto"/>
          <w:lang w:val="es-ES"/>
        </w:rPr>
      </w:pPr>
    </w:p>
    <w:p w14:paraId="5866E5E3" w14:textId="2C81EBC3" w:rsidR="004013CF" w:rsidRPr="00423E1F" w:rsidRDefault="004013CF" w:rsidP="004013CF">
      <w:pPr>
        <w:pStyle w:val="MDPI31text"/>
        <w:rPr>
          <w:color w:val="auto"/>
          <w:lang w:val="es-ES"/>
        </w:rPr>
      </w:pPr>
      <w:r w:rsidRPr="00423E1F">
        <w:rPr>
          <w:color w:val="auto"/>
          <w:lang w:val="es-ES"/>
        </w:rPr>
        <w:t>La transferencia más utilizada para la parte posterosuperior del manguito era el dorsal ancho</w:t>
      </w:r>
      <w:r w:rsidR="00423E1F" w:rsidRPr="00423E1F">
        <w:rPr>
          <w:color w:val="auto"/>
          <w:lang w:val="es-ES"/>
        </w:rPr>
        <w:t xml:space="preserve"> pero en 2014 Elhasan</w:t>
      </w:r>
      <w:r w:rsidR="00414994">
        <w:rPr>
          <w:color w:val="auto"/>
          <w:vertAlign w:val="superscript"/>
          <w:lang w:val="es-ES"/>
        </w:rPr>
        <w:t xml:space="preserve"> </w:t>
      </w:r>
      <w:r w:rsidR="00423E1F" w:rsidRPr="00423E1F">
        <w:rPr>
          <w:color w:val="auto"/>
          <w:lang w:val="es-ES"/>
        </w:rPr>
        <w:t>mostró que el trapecio inferior suponía una mejor opción al poseer características más similares al infraespinoso</w:t>
      </w:r>
      <w:r w:rsidR="00414994">
        <w:rPr>
          <w:color w:val="auto"/>
          <w:vertAlign w:val="superscript"/>
          <w:lang w:val="es-ES"/>
        </w:rPr>
        <w:t>17</w:t>
      </w:r>
      <w:r w:rsidRPr="00423E1F">
        <w:rPr>
          <w:color w:val="auto"/>
          <w:lang w:val="es-ES"/>
        </w:rPr>
        <w:t>.</w:t>
      </w:r>
      <w:r w:rsidR="00423E1F" w:rsidRPr="00423E1F">
        <w:rPr>
          <w:color w:val="auto"/>
          <w:lang w:val="es-ES"/>
        </w:rPr>
        <w:t xml:space="preserve"> También describió que se podía realizar dicha trasferencia de manera artroscópica.</w:t>
      </w:r>
    </w:p>
    <w:p w14:paraId="7E8E1FA2" w14:textId="77777777" w:rsidR="00423E1F" w:rsidRPr="0099679C" w:rsidRDefault="00423E1F" w:rsidP="004013CF">
      <w:pPr>
        <w:pStyle w:val="MDPI31text"/>
        <w:rPr>
          <w:color w:val="FF0000"/>
          <w:lang w:val="es-ES"/>
        </w:rPr>
      </w:pPr>
    </w:p>
    <w:p w14:paraId="2D6098D1" w14:textId="77777777" w:rsidR="004013CF" w:rsidRPr="0099679C" w:rsidRDefault="004013CF" w:rsidP="004013CF">
      <w:pPr>
        <w:pStyle w:val="MDPI31text"/>
        <w:rPr>
          <w:color w:val="FF0000"/>
          <w:lang w:val="es-ES"/>
        </w:rPr>
      </w:pPr>
    </w:p>
    <w:p w14:paraId="6DD35347" w14:textId="77777777" w:rsidR="004013CF" w:rsidRPr="00EF68A4" w:rsidRDefault="00EF68A4" w:rsidP="00EF68A4">
      <w:pPr>
        <w:pStyle w:val="MDPI31text"/>
        <w:ind w:left="0" w:firstLine="0"/>
        <w:rPr>
          <w:b/>
          <w:color w:val="auto"/>
          <w:lang w:val="es-ES"/>
        </w:rPr>
      </w:pPr>
      <w:r>
        <w:rPr>
          <w:color w:val="FF0000"/>
          <w:lang w:val="es-ES"/>
        </w:rPr>
        <w:t xml:space="preserve">                         </w:t>
      </w:r>
      <w:r w:rsidR="004013CF" w:rsidRPr="00EF68A4">
        <w:rPr>
          <w:b/>
          <w:color w:val="auto"/>
          <w:lang w:val="es-ES"/>
        </w:rPr>
        <w:t xml:space="preserve">3.6. </w:t>
      </w:r>
      <w:r w:rsidRPr="00EF68A4">
        <w:rPr>
          <w:b/>
          <w:color w:val="auto"/>
          <w:lang w:val="es-ES"/>
        </w:rPr>
        <w:t>Prótesis invertida de hombro</w:t>
      </w:r>
    </w:p>
    <w:p w14:paraId="5F2EC453" w14:textId="77777777" w:rsidR="00BB64E9" w:rsidRPr="00423E1F" w:rsidRDefault="00423E1F" w:rsidP="00BB64E9">
      <w:pPr>
        <w:pStyle w:val="MDPI31text"/>
        <w:rPr>
          <w:color w:val="auto"/>
          <w:lang w:val="es-ES"/>
        </w:rPr>
      </w:pPr>
      <w:r w:rsidRPr="00423E1F">
        <w:rPr>
          <w:color w:val="auto"/>
          <w:lang w:val="es-ES"/>
        </w:rPr>
        <w:t>La indicación es</w:t>
      </w:r>
      <w:r w:rsidR="00BB64E9" w:rsidRPr="00423E1F">
        <w:rPr>
          <w:color w:val="auto"/>
          <w:lang w:val="es-ES"/>
        </w:rPr>
        <w:t xml:space="preserve"> en pacientes con una edad mayor a 65-70 años, poco colaboradores con la inmovilización posquirúrgica</w:t>
      </w:r>
      <w:r w:rsidRPr="00423E1F">
        <w:rPr>
          <w:color w:val="auto"/>
          <w:lang w:val="es-ES"/>
        </w:rPr>
        <w:t xml:space="preserve"> necesaria en otros tratamientos, que hayan fracasado otras opciones quirúrgicas</w:t>
      </w:r>
      <w:r w:rsidR="00BB64E9" w:rsidRPr="00423E1F">
        <w:rPr>
          <w:color w:val="auto"/>
          <w:lang w:val="es-ES"/>
        </w:rPr>
        <w:t xml:space="preserve"> y con comorbilidades que predispongan a una alta tasa de fracaso de otros trata</w:t>
      </w:r>
      <w:r w:rsidRPr="00423E1F">
        <w:rPr>
          <w:color w:val="auto"/>
          <w:lang w:val="es-ES"/>
        </w:rPr>
        <w:t xml:space="preserve">mientos, como pueden ser una diabetes mellitus </w:t>
      </w:r>
      <w:r w:rsidR="00BB64E9" w:rsidRPr="00423E1F">
        <w:rPr>
          <w:color w:val="auto"/>
          <w:lang w:val="es-ES"/>
        </w:rPr>
        <w:t xml:space="preserve">con mal control, el hábito tabáquico o enfermedades reumatológicas. </w:t>
      </w:r>
    </w:p>
    <w:p w14:paraId="202E95D2" w14:textId="77777777" w:rsidR="00423E1F" w:rsidRPr="00B72FA1" w:rsidRDefault="00423E1F" w:rsidP="00BB64E9">
      <w:pPr>
        <w:pStyle w:val="MDPI31text"/>
        <w:rPr>
          <w:color w:val="auto"/>
          <w:lang w:val="es-ES"/>
        </w:rPr>
      </w:pPr>
    </w:p>
    <w:p w14:paraId="363661D2" w14:textId="77777777" w:rsidR="00423E1F" w:rsidRPr="00C1170B" w:rsidRDefault="00BB64E9" w:rsidP="00BB64E9">
      <w:pPr>
        <w:pStyle w:val="MDPI31text"/>
        <w:rPr>
          <w:color w:val="auto"/>
          <w:vertAlign w:val="superscript"/>
          <w:lang w:val="es-ES"/>
        </w:rPr>
      </w:pPr>
      <w:r w:rsidRPr="00B72FA1">
        <w:rPr>
          <w:color w:val="auto"/>
          <w:lang w:val="es-ES"/>
        </w:rPr>
        <w:t>La prótesis inversa, desarrollada por Paul Grammont en los</w:t>
      </w:r>
      <w:r w:rsidR="004001F2">
        <w:rPr>
          <w:color w:val="auto"/>
          <w:lang w:val="es-ES"/>
        </w:rPr>
        <w:t xml:space="preserve"> años</w:t>
      </w:r>
      <w:r w:rsidRPr="00B72FA1">
        <w:rPr>
          <w:color w:val="auto"/>
          <w:lang w:val="es-ES"/>
        </w:rPr>
        <w:t xml:space="preserve"> 80, permite medializar y descender el centro de rotación, permitiendo reclutar más fibras del deltoides para así preservar las fu</w:t>
      </w:r>
      <w:r w:rsidR="00423E1F" w:rsidRPr="00B72FA1">
        <w:rPr>
          <w:color w:val="auto"/>
          <w:lang w:val="es-ES"/>
        </w:rPr>
        <w:t>nciones de elevación y</w:t>
      </w:r>
      <w:r w:rsidR="004001F2">
        <w:rPr>
          <w:color w:val="auto"/>
          <w:lang w:val="es-ES"/>
        </w:rPr>
        <w:t xml:space="preserve"> abducción del brazo en situacio</w:t>
      </w:r>
      <w:r w:rsidR="00423E1F" w:rsidRPr="00B72FA1">
        <w:rPr>
          <w:color w:val="auto"/>
          <w:lang w:val="es-ES"/>
        </w:rPr>
        <w:t>nes en las que tenemos lesionada la región posterosuperior del manguito rotador.</w:t>
      </w:r>
      <w:r w:rsidR="007E1E45">
        <w:rPr>
          <w:color w:val="auto"/>
          <w:vertAlign w:val="superscript"/>
          <w:lang w:val="es-ES"/>
        </w:rPr>
        <w:t>10</w:t>
      </w:r>
    </w:p>
    <w:p w14:paraId="5F538888" w14:textId="77777777" w:rsidR="00423E1F" w:rsidRPr="00B72FA1" w:rsidRDefault="00423E1F" w:rsidP="00BB64E9">
      <w:pPr>
        <w:pStyle w:val="MDPI31text"/>
        <w:rPr>
          <w:color w:val="auto"/>
          <w:lang w:val="es-ES"/>
        </w:rPr>
      </w:pPr>
    </w:p>
    <w:p w14:paraId="22A9C20B" w14:textId="77777777" w:rsidR="009353E3" w:rsidRPr="00B72FA1" w:rsidRDefault="009353E3" w:rsidP="00BB64E9">
      <w:pPr>
        <w:pStyle w:val="MDPI31text"/>
        <w:rPr>
          <w:color w:val="auto"/>
          <w:lang w:val="es-ES"/>
        </w:rPr>
      </w:pPr>
      <w:r w:rsidRPr="00B72FA1">
        <w:rPr>
          <w:color w:val="auto"/>
          <w:lang w:val="es-ES"/>
        </w:rPr>
        <w:t>Entre las prótesis existentes podemos distinguir dos tipos principales:</w:t>
      </w:r>
    </w:p>
    <w:p w14:paraId="6585E467" w14:textId="77777777" w:rsidR="009353E3" w:rsidRPr="00B72FA1" w:rsidRDefault="009353E3" w:rsidP="00BB64E9">
      <w:pPr>
        <w:pStyle w:val="MDPI31text"/>
        <w:rPr>
          <w:color w:val="auto"/>
          <w:lang w:val="es-ES"/>
        </w:rPr>
      </w:pPr>
    </w:p>
    <w:p w14:paraId="5C983D66" w14:textId="77777777" w:rsidR="00BB64E9" w:rsidRDefault="009353E3" w:rsidP="009353E3">
      <w:pPr>
        <w:pStyle w:val="MDPI31text"/>
        <w:numPr>
          <w:ilvl w:val="0"/>
          <w:numId w:val="18"/>
        </w:numPr>
        <w:rPr>
          <w:color w:val="auto"/>
          <w:lang w:val="es-ES"/>
        </w:rPr>
      </w:pPr>
      <w:r w:rsidRPr="00B72FA1">
        <w:rPr>
          <w:color w:val="auto"/>
          <w:lang w:val="es-ES"/>
        </w:rPr>
        <w:t xml:space="preserve">Tipo Grammont: ángulo </w:t>
      </w:r>
      <w:r w:rsidR="00BB64E9" w:rsidRPr="00B72FA1">
        <w:rPr>
          <w:color w:val="auto"/>
          <w:lang w:val="es-ES"/>
        </w:rPr>
        <w:t>cervicodiafisario de 155º, en las que se</w:t>
      </w:r>
      <w:r w:rsidR="00B72FA1" w:rsidRPr="00B72FA1">
        <w:rPr>
          <w:color w:val="auto"/>
          <w:lang w:val="es-ES"/>
        </w:rPr>
        <w:t xml:space="preserve"> medializa y desciende el húmero y</w:t>
      </w:r>
      <w:r w:rsidR="00BB64E9" w:rsidRPr="00B72FA1">
        <w:rPr>
          <w:color w:val="auto"/>
          <w:lang w:val="es-ES"/>
        </w:rPr>
        <w:t xml:space="preserve"> con un vá</w:t>
      </w:r>
      <w:r w:rsidR="004001F2">
        <w:rPr>
          <w:color w:val="auto"/>
          <w:lang w:val="es-ES"/>
        </w:rPr>
        <w:t>s</w:t>
      </w:r>
      <w:r w:rsidR="00BB64E9" w:rsidRPr="00B72FA1">
        <w:rPr>
          <w:color w:val="auto"/>
          <w:lang w:val="es-ES"/>
        </w:rPr>
        <w:t xml:space="preserve">tago recto </w:t>
      </w:r>
      <w:r w:rsidR="00B72FA1" w:rsidRPr="00B72FA1">
        <w:rPr>
          <w:color w:val="auto"/>
          <w:lang w:val="es-ES"/>
        </w:rPr>
        <w:t>“</w:t>
      </w:r>
      <w:r w:rsidR="00BB64E9" w:rsidRPr="00B72FA1">
        <w:rPr>
          <w:color w:val="auto"/>
          <w:lang w:val="es-ES"/>
        </w:rPr>
        <w:t>inlay</w:t>
      </w:r>
      <w:r w:rsidR="00B72FA1" w:rsidRPr="00B72FA1">
        <w:rPr>
          <w:color w:val="auto"/>
          <w:lang w:val="es-ES"/>
        </w:rPr>
        <w:t>”</w:t>
      </w:r>
      <w:r w:rsidR="00BB64E9" w:rsidRPr="00B72FA1">
        <w:rPr>
          <w:color w:val="auto"/>
          <w:lang w:val="es-ES"/>
        </w:rPr>
        <w:t>, es decir, dentro del húmero</w:t>
      </w:r>
      <w:r w:rsidR="00B72FA1" w:rsidRPr="00B72FA1">
        <w:rPr>
          <w:color w:val="auto"/>
          <w:lang w:val="es-ES"/>
        </w:rPr>
        <w:t>.</w:t>
      </w:r>
    </w:p>
    <w:p w14:paraId="5778672B" w14:textId="77777777" w:rsidR="00B72FA1" w:rsidRPr="00B72FA1" w:rsidRDefault="00B72FA1" w:rsidP="00B72FA1">
      <w:pPr>
        <w:pStyle w:val="MDPI31text"/>
        <w:ind w:left="3393" w:firstLine="0"/>
        <w:rPr>
          <w:color w:val="auto"/>
          <w:lang w:val="es-ES"/>
        </w:rPr>
      </w:pPr>
    </w:p>
    <w:p w14:paraId="411AB2CA" w14:textId="77777777" w:rsidR="00BB64E9" w:rsidRPr="00B72FA1" w:rsidRDefault="009353E3" w:rsidP="009353E3">
      <w:pPr>
        <w:pStyle w:val="MDPI31text"/>
        <w:numPr>
          <w:ilvl w:val="0"/>
          <w:numId w:val="18"/>
        </w:numPr>
        <w:rPr>
          <w:color w:val="auto"/>
          <w:lang w:val="es-ES"/>
        </w:rPr>
      </w:pPr>
      <w:r w:rsidRPr="00B72FA1">
        <w:rPr>
          <w:color w:val="auto"/>
          <w:lang w:val="es-ES"/>
        </w:rPr>
        <w:t>Lateralizadas:</w:t>
      </w:r>
      <w:r w:rsidR="00BB64E9" w:rsidRPr="00B72FA1">
        <w:rPr>
          <w:color w:val="auto"/>
          <w:lang w:val="es-ES"/>
        </w:rPr>
        <w:t xml:space="preserve"> ángulo cervicodi</w:t>
      </w:r>
      <w:r w:rsidR="00B72FA1" w:rsidRPr="00B72FA1">
        <w:rPr>
          <w:color w:val="auto"/>
          <w:lang w:val="es-ES"/>
        </w:rPr>
        <w:t>afisario de 135º, vástago curvo y</w:t>
      </w:r>
      <w:r w:rsidR="00BB64E9" w:rsidRPr="00B72FA1">
        <w:rPr>
          <w:color w:val="auto"/>
          <w:lang w:val="es-ES"/>
        </w:rPr>
        <w:t xml:space="preserve"> </w:t>
      </w:r>
      <w:r w:rsidR="00B72FA1" w:rsidRPr="00B72FA1">
        <w:rPr>
          <w:color w:val="auto"/>
          <w:lang w:val="es-ES"/>
        </w:rPr>
        <w:t>“</w:t>
      </w:r>
      <w:r w:rsidR="00BB64E9" w:rsidRPr="00B72FA1">
        <w:rPr>
          <w:color w:val="auto"/>
          <w:lang w:val="es-ES"/>
        </w:rPr>
        <w:t>onlay</w:t>
      </w:r>
      <w:r w:rsidR="00B72FA1" w:rsidRPr="00B72FA1">
        <w:rPr>
          <w:color w:val="auto"/>
          <w:lang w:val="es-ES"/>
        </w:rPr>
        <w:t>”</w:t>
      </w:r>
      <w:r w:rsidR="00BB64E9" w:rsidRPr="00B72FA1">
        <w:rPr>
          <w:color w:val="auto"/>
          <w:lang w:val="es-ES"/>
        </w:rPr>
        <w:t xml:space="preserve"> porque </w:t>
      </w:r>
      <w:r w:rsidRPr="00B72FA1">
        <w:rPr>
          <w:color w:val="auto"/>
          <w:lang w:val="es-ES"/>
        </w:rPr>
        <w:t>se asienta</w:t>
      </w:r>
      <w:r w:rsidR="00B72FA1" w:rsidRPr="00B72FA1">
        <w:rPr>
          <w:color w:val="auto"/>
          <w:lang w:val="es-ES"/>
        </w:rPr>
        <w:t xml:space="preserve"> fuera del húmero.</w:t>
      </w:r>
    </w:p>
    <w:p w14:paraId="3849C4E0" w14:textId="77777777" w:rsidR="009353E3" w:rsidRPr="0099679C" w:rsidRDefault="009353E3" w:rsidP="009353E3">
      <w:pPr>
        <w:pStyle w:val="MDPI31text"/>
        <w:ind w:left="3393" w:firstLine="0"/>
        <w:rPr>
          <w:color w:val="FF0000"/>
          <w:lang w:val="es-ES"/>
        </w:rPr>
      </w:pPr>
    </w:p>
    <w:p w14:paraId="0112A8E2" w14:textId="77777777" w:rsidR="00BB64E9" w:rsidRPr="00423E1F" w:rsidRDefault="00BB64E9" w:rsidP="00423E1F">
      <w:pPr>
        <w:pStyle w:val="MDPI31text"/>
        <w:rPr>
          <w:color w:val="auto"/>
          <w:lang w:val="es-ES"/>
        </w:rPr>
      </w:pPr>
      <w:r w:rsidRPr="00423E1F">
        <w:rPr>
          <w:color w:val="auto"/>
          <w:lang w:val="es-ES"/>
        </w:rPr>
        <w:t xml:space="preserve">Las tendencias </w:t>
      </w:r>
      <w:r w:rsidR="00423E1F" w:rsidRPr="00423E1F">
        <w:rPr>
          <w:color w:val="auto"/>
          <w:lang w:val="es-ES"/>
        </w:rPr>
        <w:t>actuales en estas prótesis son: el</w:t>
      </w:r>
      <w:r w:rsidRPr="00423E1F">
        <w:rPr>
          <w:color w:val="auto"/>
          <w:lang w:val="es-ES"/>
        </w:rPr>
        <w:t xml:space="preserve"> uso de la modularidad</w:t>
      </w:r>
      <w:r w:rsidR="00423E1F" w:rsidRPr="00423E1F">
        <w:rPr>
          <w:color w:val="auto"/>
          <w:lang w:val="es-ES"/>
        </w:rPr>
        <w:t>,</w:t>
      </w:r>
      <w:r w:rsidRPr="00423E1F">
        <w:rPr>
          <w:color w:val="auto"/>
          <w:lang w:val="es-ES"/>
        </w:rPr>
        <w:t xml:space="preserve"> para </w:t>
      </w:r>
      <w:r w:rsidR="00423E1F" w:rsidRPr="00423E1F">
        <w:rPr>
          <w:color w:val="auto"/>
          <w:lang w:val="es-ES"/>
        </w:rPr>
        <w:t>controlar el tamaño de los componentes y así la tensión de las partes blandas, a no cementar, a usar vástagos cortos con los que mantener la mayor parte de hueso posible, a realizar una adecuada planificación quirúrgica para evitar fracasos del implante por pérdida del componente glenoideo, y más recientemente, a la navegación intraquirúrgica.</w:t>
      </w:r>
      <w:r w:rsidRPr="00423E1F">
        <w:rPr>
          <w:color w:val="auto"/>
          <w:lang w:val="es-ES"/>
        </w:rPr>
        <w:t xml:space="preserve"> </w:t>
      </w:r>
    </w:p>
    <w:p w14:paraId="43E5A1F8" w14:textId="77777777" w:rsidR="004013CF" w:rsidRPr="005874EB" w:rsidRDefault="004013CF" w:rsidP="004013CF">
      <w:pPr>
        <w:pStyle w:val="MDPI31text"/>
        <w:rPr>
          <w:lang w:val="es-ES"/>
        </w:rPr>
      </w:pPr>
    </w:p>
    <w:p w14:paraId="5B8385F4" w14:textId="77777777" w:rsidR="00B05DD7" w:rsidRPr="005874EB" w:rsidRDefault="00B05DD7" w:rsidP="0099679C">
      <w:pPr>
        <w:pStyle w:val="MDPI31text"/>
        <w:ind w:left="0" w:firstLine="0"/>
        <w:rPr>
          <w:lang w:val="es-ES"/>
        </w:rPr>
      </w:pPr>
    </w:p>
    <w:p w14:paraId="5FB6C54B" w14:textId="77777777" w:rsidR="00FE6943" w:rsidRPr="005874EB" w:rsidRDefault="00894D6B" w:rsidP="00FE6943">
      <w:pPr>
        <w:pStyle w:val="MDPI21heading1"/>
        <w:rPr>
          <w:lang w:val="es-ES"/>
        </w:rPr>
      </w:pPr>
      <w:r w:rsidRPr="005874EB">
        <w:rPr>
          <w:lang w:val="es-ES"/>
        </w:rPr>
        <w:t>4. Discusió</w:t>
      </w:r>
      <w:r w:rsidR="00FE6943" w:rsidRPr="005874EB">
        <w:rPr>
          <w:lang w:val="es-ES"/>
        </w:rPr>
        <w:t>n</w:t>
      </w:r>
    </w:p>
    <w:p w14:paraId="01BBBE6B" w14:textId="77777777" w:rsidR="00A92841" w:rsidRPr="00456034" w:rsidRDefault="00960D32" w:rsidP="002C74FC">
      <w:pPr>
        <w:pStyle w:val="MDPI31text"/>
        <w:rPr>
          <w:color w:val="auto"/>
          <w:lang w:val="es-ES"/>
        </w:rPr>
      </w:pPr>
      <w:r w:rsidRPr="00456034">
        <w:rPr>
          <w:color w:val="auto"/>
          <w:lang w:val="es-ES"/>
        </w:rPr>
        <w:t>La rotur</w:t>
      </w:r>
      <w:r w:rsidR="00F12197" w:rsidRPr="00456034">
        <w:rPr>
          <w:color w:val="auto"/>
          <w:lang w:val="es-ES"/>
        </w:rPr>
        <w:t xml:space="preserve">a del manguito rotador supone </w:t>
      </w:r>
      <w:r w:rsidRPr="00456034">
        <w:rPr>
          <w:color w:val="auto"/>
          <w:lang w:val="es-ES"/>
        </w:rPr>
        <w:t xml:space="preserve">una pérdida de la movilidad y la estabilidad de la articulación </w:t>
      </w:r>
      <w:r w:rsidR="00A92841" w:rsidRPr="00456034">
        <w:rPr>
          <w:color w:val="auto"/>
          <w:lang w:val="es-ES"/>
        </w:rPr>
        <w:t>glenohumeral</w:t>
      </w:r>
      <w:r w:rsidRPr="00456034">
        <w:rPr>
          <w:color w:val="auto"/>
          <w:lang w:val="es-ES"/>
        </w:rPr>
        <w:t xml:space="preserve">, además de una </w:t>
      </w:r>
      <w:r w:rsidR="00A92841" w:rsidRPr="00456034">
        <w:rPr>
          <w:color w:val="auto"/>
          <w:lang w:val="es-ES"/>
        </w:rPr>
        <w:t xml:space="preserve">fuente de dolor. </w:t>
      </w:r>
    </w:p>
    <w:p w14:paraId="1A84BF21" w14:textId="77777777" w:rsidR="00A92841" w:rsidRPr="00456034" w:rsidRDefault="00A92841" w:rsidP="002C74FC">
      <w:pPr>
        <w:pStyle w:val="MDPI31text"/>
        <w:rPr>
          <w:color w:val="auto"/>
          <w:lang w:val="es-ES"/>
        </w:rPr>
      </w:pPr>
    </w:p>
    <w:p w14:paraId="71A50791" w14:textId="77777777" w:rsidR="00A92841" w:rsidRDefault="00A92841" w:rsidP="002C74FC">
      <w:pPr>
        <w:pStyle w:val="MDPI31text"/>
        <w:rPr>
          <w:color w:val="FF0000"/>
          <w:lang w:val="es-ES"/>
        </w:rPr>
      </w:pPr>
    </w:p>
    <w:p w14:paraId="63202775" w14:textId="77777777" w:rsidR="00A92841" w:rsidRDefault="00A92841" w:rsidP="002C74FC">
      <w:pPr>
        <w:pStyle w:val="MDPI31text"/>
        <w:rPr>
          <w:color w:val="FF0000"/>
          <w:lang w:val="es-ES"/>
        </w:rPr>
      </w:pPr>
    </w:p>
    <w:p w14:paraId="63968EFD" w14:textId="77777777" w:rsidR="00A92841" w:rsidRDefault="00A92841" w:rsidP="00A92841">
      <w:pPr>
        <w:pStyle w:val="MDPI31text"/>
        <w:rPr>
          <w:lang w:val="es-ES"/>
        </w:rPr>
      </w:pPr>
    </w:p>
    <w:p w14:paraId="21F877CC" w14:textId="77777777" w:rsidR="00F12197" w:rsidRDefault="00A92841" w:rsidP="00655307">
      <w:pPr>
        <w:pStyle w:val="MDPI31text"/>
        <w:rPr>
          <w:lang w:val="es-ES"/>
        </w:rPr>
      </w:pPr>
      <w:r>
        <w:rPr>
          <w:lang w:val="es-ES"/>
        </w:rPr>
        <w:t xml:space="preserve">Entre los tratamientos existentes para este tipo de roturas existen algunos paliativos, </w:t>
      </w:r>
      <w:r w:rsidR="00F12197">
        <w:rPr>
          <w:lang w:val="es-ES"/>
        </w:rPr>
        <w:t>que no han demostrado resultados favorables a largo plazo, y otros más ambiciosos que buscan restituir la función del hombro a la vez que eliminan el dolor.</w:t>
      </w:r>
    </w:p>
    <w:p w14:paraId="54189890" w14:textId="77777777" w:rsidR="00F12197" w:rsidRDefault="00F12197" w:rsidP="00994BBA">
      <w:pPr>
        <w:pStyle w:val="MDPI31text"/>
        <w:ind w:left="0" w:firstLine="0"/>
        <w:rPr>
          <w:lang w:val="es-ES"/>
        </w:rPr>
      </w:pPr>
    </w:p>
    <w:p w14:paraId="4EA1A2C7" w14:textId="77777777" w:rsidR="00456034" w:rsidRDefault="00F12197" w:rsidP="00655307">
      <w:pPr>
        <w:pStyle w:val="MDPI31text"/>
        <w:rPr>
          <w:lang w:val="es-ES"/>
        </w:rPr>
      </w:pPr>
      <w:r>
        <w:rPr>
          <w:lang w:val="es-ES"/>
        </w:rPr>
        <w:t>Entre los primeros destaca</w:t>
      </w:r>
      <w:r w:rsidR="00456034">
        <w:rPr>
          <w:lang w:val="es-ES"/>
        </w:rPr>
        <w:t>n la limpieza artroscópica,</w:t>
      </w:r>
      <w:r>
        <w:rPr>
          <w:lang w:val="es-ES"/>
        </w:rPr>
        <w:t xml:space="preserve"> el balón subacromial</w:t>
      </w:r>
      <w:r w:rsidR="00456034">
        <w:rPr>
          <w:lang w:val="es-ES"/>
        </w:rPr>
        <w:t xml:space="preserve"> y la tenotomía y tenodesis de la porción larga del bíceps. </w:t>
      </w:r>
    </w:p>
    <w:p w14:paraId="29EE9DA9" w14:textId="77777777" w:rsidR="00456034" w:rsidRDefault="00456034" w:rsidP="00655307">
      <w:pPr>
        <w:pStyle w:val="MDPI31text"/>
        <w:rPr>
          <w:lang w:val="es-ES"/>
        </w:rPr>
      </w:pPr>
    </w:p>
    <w:p w14:paraId="42232F6A" w14:textId="77777777" w:rsidR="00F12197" w:rsidRDefault="00456034" w:rsidP="00655307">
      <w:pPr>
        <w:pStyle w:val="MDPI31text"/>
        <w:rPr>
          <w:lang w:val="es-ES"/>
        </w:rPr>
      </w:pPr>
      <w:r>
        <w:rPr>
          <w:lang w:val="es-ES"/>
        </w:rPr>
        <w:t>Entre los artículos publicados que muestran buenos resultados con el balón subacromial tenemos seguimientos a corto plazo (1 o 2 años)</w:t>
      </w:r>
      <w:r>
        <w:rPr>
          <w:vertAlign w:val="superscript"/>
          <w:lang w:val="es-ES"/>
        </w:rPr>
        <w:t>11</w:t>
      </w:r>
      <w:r>
        <w:rPr>
          <w:lang w:val="es-ES"/>
        </w:rPr>
        <w:t xml:space="preserve"> y cohortes de pacientes en los que no se hace distinción entre afectos por lesiones reparables o irreparables del manguito rotador.</w:t>
      </w:r>
      <w:r>
        <w:rPr>
          <w:vertAlign w:val="superscript"/>
          <w:lang w:val="es-ES"/>
        </w:rPr>
        <w:t>12</w:t>
      </w:r>
      <w:r>
        <w:rPr>
          <w:lang w:val="es-ES"/>
        </w:rPr>
        <w:t xml:space="preserve"> Sin embargo, en la literatura relativa a este tratamiento que incluyen pacientes con roturas irreparables y con seguimiento a 5 años se muestra una mejoría subjetiva del dolor del 46% de los pacientes</w:t>
      </w:r>
      <w:r>
        <w:rPr>
          <w:vertAlign w:val="superscript"/>
          <w:lang w:val="es-ES"/>
        </w:rPr>
        <w:t>13</w:t>
      </w:r>
      <w:r>
        <w:rPr>
          <w:lang w:val="es-ES"/>
        </w:rPr>
        <w:t>, por lo que se muestra como un tratamiento sintomático paliativo.</w:t>
      </w:r>
    </w:p>
    <w:p w14:paraId="5ADED93C" w14:textId="77777777" w:rsidR="00751DE2" w:rsidRDefault="00751DE2" w:rsidP="00655307">
      <w:pPr>
        <w:pStyle w:val="MDPI31text"/>
        <w:rPr>
          <w:lang w:val="es-ES"/>
        </w:rPr>
      </w:pPr>
    </w:p>
    <w:p w14:paraId="3240C9EF" w14:textId="77777777" w:rsidR="00751DE2" w:rsidRPr="00751DE2" w:rsidRDefault="00751DE2" w:rsidP="00655307">
      <w:pPr>
        <w:pStyle w:val="MDPI31text"/>
        <w:rPr>
          <w:vertAlign w:val="superscript"/>
          <w:lang w:val="es-ES"/>
        </w:rPr>
      </w:pPr>
      <w:r>
        <w:rPr>
          <w:lang w:val="es-ES"/>
        </w:rPr>
        <w:t xml:space="preserve">Así mismo, cuando aplicamos una tenotomía asociada o no a tenodesis de la porción larga del bíceps, los resultados en términos de mejoría subjetiva del dolor son positivos cuando se valoran </w:t>
      </w:r>
      <w:r w:rsidR="00994BBA">
        <w:rPr>
          <w:lang w:val="es-ES"/>
        </w:rPr>
        <w:t xml:space="preserve">solo </w:t>
      </w:r>
      <w:r>
        <w:rPr>
          <w:lang w:val="es-ES"/>
        </w:rPr>
        <w:t>periodos cortos de tiempo.</w:t>
      </w:r>
      <w:r>
        <w:rPr>
          <w:vertAlign w:val="superscript"/>
          <w:lang w:val="es-ES"/>
        </w:rPr>
        <w:t>14</w:t>
      </w:r>
    </w:p>
    <w:p w14:paraId="7A8FA851" w14:textId="77777777" w:rsidR="0099679C" w:rsidRDefault="0099679C" w:rsidP="002C74FC">
      <w:pPr>
        <w:pStyle w:val="MDPI31text"/>
        <w:rPr>
          <w:color w:val="FF0000"/>
          <w:lang w:val="es-ES"/>
        </w:rPr>
      </w:pPr>
    </w:p>
    <w:p w14:paraId="74392B1A" w14:textId="77777777" w:rsidR="00751DE2" w:rsidRPr="007C698F" w:rsidRDefault="00751DE2" w:rsidP="00751DE2">
      <w:pPr>
        <w:pStyle w:val="MDPI31text"/>
        <w:rPr>
          <w:color w:val="auto"/>
          <w:lang w:val="es-ES"/>
        </w:rPr>
      </w:pPr>
      <w:r>
        <w:rPr>
          <w:lang w:val="es-ES"/>
        </w:rPr>
        <w:t xml:space="preserve">Por otro lado, existen tratamientos cuyo objetivo es recuperar la función, además de eliminar el dolor, con buenos resultados a largo plazo, entre los cuales se encuentran la </w:t>
      </w:r>
      <w:r w:rsidRPr="007C698F">
        <w:rPr>
          <w:color w:val="auto"/>
          <w:lang w:val="es-ES"/>
        </w:rPr>
        <w:t>reparación capsular superior, las transferencias tendinosas y la prótesis invertida.</w:t>
      </w:r>
    </w:p>
    <w:p w14:paraId="50377211" w14:textId="77777777" w:rsidR="00751DE2" w:rsidRPr="007C698F" w:rsidRDefault="00751DE2" w:rsidP="00751DE2">
      <w:pPr>
        <w:pStyle w:val="MDPI31text"/>
        <w:rPr>
          <w:color w:val="auto"/>
          <w:lang w:val="es-ES"/>
        </w:rPr>
      </w:pPr>
      <w:r w:rsidRPr="007C698F">
        <w:rPr>
          <w:color w:val="auto"/>
          <w:lang w:val="es-ES"/>
        </w:rPr>
        <w:t xml:space="preserve"> </w:t>
      </w:r>
    </w:p>
    <w:p w14:paraId="7A1FC61F" w14:textId="77777777" w:rsidR="00751DE2" w:rsidRPr="007C698F" w:rsidRDefault="00751DE2" w:rsidP="00751DE2">
      <w:pPr>
        <w:pStyle w:val="MDPI31text"/>
        <w:rPr>
          <w:color w:val="auto"/>
          <w:lang w:val="es-ES"/>
        </w:rPr>
      </w:pPr>
      <w:r w:rsidRPr="007C698F">
        <w:rPr>
          <w:color w:val="auto"/>
          <w:lang w:val="es-ES"/>
        </w:rPr>
        <w:t xml:space="preserve">En aquellos pacientes más jóvenes, con poca destrucción articular, Hamada 1-2, con un músculo subescapular íntegro la reconstrucción de la cápsula superior y las trasferencias tendinosas serán una alternativa en aquellas lesiones de la porción posterosuperior del manguito. Cuando la lesión se encuentre en la parte anterior tendremos las trasferencias tendinosas como alternativa. </w:t>
      </w:r>
    </w:p>
    <w:p w14:paraId="30008C33" w14:textId="77777777" w:rsidR="00751DE2" w:rsidRPr="007C698F" w:rsidRDefault="00751DE2" w:rsidP="00751DE2">
      <w:pPr>
        <w:pStyle w:val="MDPI31text"/>
        <w:rPr>
          <w:color w:val="auto"/>
          <w:lang w:val="es-ES"/>
        </w:rPr>
      </w:pPr>
    </w:p>
    <w:p w14:paraId="200F3A73" w14:textId="77777777" w:rsidR="00751DE2" w:rsidRPr="007C698F" w:rsidRDefault="00751DE2" w:rsidP="00751DE2">
      <w:pPr>
        <w:pStyle w:val="MDPI31text"/>
        <w:rPr>
          <w:color w:val="auto"/>
          <w:vertAlign w:val="superscript"/>
          <w:lang w:val="es-ES"/>
        </w:rPr>
      </w:pPr>
      <w:r w:rsidRPr="007C698F">
        <w:rPr>
          <w:color w:val="auto"/>
          <w:lang w:val="es-ES"/>
        </w:rPr>
        <w:t>En cuanto a la reconstrucción de la cápsula superior</w:t>
      </w:r>
      <w:r w:rsidR="007C698F" w:rsidRPr="007C698F">
        <w:rPr>
          <w:color w:val="auto"/>
          <w:lang w:val="es-ES"/>
        </w:rPr>
        <w:t>, posible de realizar con múltiples tipos de injertos, se ha demostrado que el aloinjerto con matriz dérmica celular de cadáver supone uno de los injertos disponibles en la actualidad más resistentes, debido a la disposición entrecruzada de sus fibras, al contrario del injerto de fascia lata, cuyas fibras están dispuestas en paralelo.</w:t>
      </w:r>
      <w:r w:rsidR="007C698F" w:rsidRPr="007C698F">
        <w:rPr>
          <w:color w:val="auto"/>
          <w:vertAlign w:val="superscript"/>
          <w:lang w:val="es-ES"/>
        </w:rPr>
        <w:t xml:space="preserve">9 </w:t>
      </w:r>
      <w:r w:rsidR="007C698F" w:rsidRPr="007C698F">
        <w:rPr>
          <w:color w:val="auto"/>
          <w:lang w:val="es-ES"/>
        </w:rPr>
        <w:t>La aumentación mediante la porción larga del bíceps también ha demostrado resultados positivos en cuanto a mejoría del dolor y recuperación de la función se refiere.</w:t>
      </w:r>
      <w:r w:rsidR="007C698F" w:rsidRPr="007C698F">
        <w:rPr>
          <w:color w:val="auto"/>
          <w:vertAlign w:val="superscript"/>
          <w:lang w:val="es-ES"/>
        </w:rPr>
        <w:t>15,16</w:t>
      </w:r>
    </w:p>
    <w:p w14:paraId="034210EB" w14:textId="77777777" w:rsidR="007C698F" w:rsidRPr="007C698F" w:rsidRDefault="007C698F" w:rsidP="00751DE2">
      <w:pPr>
        <w:pStyle w:val="MDPI31text"/>
        <w:rPr>
          <w:color w:val="auto"/>
          <w:vertAlign w:val="superscript"/>
          <w:lang w:val="es-ES"/>
        </w:rPr>
      </w:pPr>
    </w:p>
    <w:p w14:paraId="188FB142" w14:textId="77777777" w:rsidR="007C698F" w:rsidRDefault="007C698F" w:rsidP="00751DE2">
      <w:pPr>
        <w:pStyle w:val="MDPI31text"/>
        <w:rPr>
          <w:color w:val="auto"/>
          <w:lang w:val="es-ES"/>
        </w:rPr>
      </w:pPr>
      <w:r w:rsidRPr="007C698F">
        <w:rPr>
          <w:color w:val="auto"/>
          <w:lang w:val="es-ES"/>
        </w:rPr>
        <w:t xml:space="preserve">Por otro lado, </w:t>
      </w:r>
      <w:r w:rsidR="00994BBA">
        <w:rPr>
          <w:color w:val="auto"/>
          <w:lang w:val="es-ES"/>
        </w:rPr>
        <w:t>las trasferencias tendinosas</w:t>
      </w:r>
      <w:r>
        <w:rPr>
          <w:color w:val="auto"/>
          <w:lang w:val="es-ES"/>
        </w:rPr>
        <w:t xml:space="preserve"> más comunes son aquellas usadas para tratar la rotura de la porción posterosuperior del mangui</w:t>
      </w:r>
      <w:r w:rsidR="00994BBA">
        <w:rPr>
          <w:color w:val="auto"/>
          <w:lang w:val="es-ES"/>
        </w:rPr>
        <w:t>t</w:t>
      </w:r>
      <w:r>
        <w:rPr>
          <w:color w:val="auto"/>
          <w:lang w:val="es-ES"/>
        </w:rPr>
        <w:t>o, más frecuentemente afecta que la anterior. Bassem et al.</w:t>
      </w:r>
      <w:r>
        <w:rPr>
          <w:color w:val="auto"/>
          <w:vertAlign w:val="superscript"/>
          <w:lang w:val="es-ES"/>
        </w:rPr>
        <w:t xml:space="preserve">17 </w:t>
      </w:r>
      <w:r>
        <w:rPr>
          <w:color w:val="auto"/>
          <w:lang w:val="es-ES"/>
        </w:rPr>
        <w:t>presentó el trapecio inferior como mejor alternativa que el dorsal ancho, debido a tener unas características más similares al infraespinoso en términos de tensión relativa y potencial excursión. La técnica fue utilizada inicia</w:t>
      </w:r>
      <w:r w:rsidR="00994BBA">
        <w:rPr>
          <w:color w:val="auto"/>
          <w:lang w:val="es-ES"/>
        </w:rPr>
        <w:t>l</w:t>
      </w:r>
      <w:r>
        <w:rPr>
          <w:color w:val="auto"/>
          <w:lang w:val="es-ES"/>
        </w:rPr>
        <w:t xml:space="preserve">mente en paciente con déficit de rotación externa </w:t>
      </w:r>
      <w:r w:rsidR="00130D75">
        <w:rPr>
          <w:color w:val="auto"/>
          <w:lang w:val="es-ES"/>
        </w:rPr>
        <w:t>p</w:t>
      </w:r>
      <w:r w:rsidR="00994BBA">
        <w:rPr>
          <w:color w:val="auto"/>
          <w:lang w:val="es-ES"/>
        </w:rPr>
        <w:t>or una lesión del plexo br</w:t>
      </w:r>
      <w:r>
        <w:rPr>
          <w:color w:val="auto"/>
          <w:lang w:val="es-ES"/>
        </w:rPr>
        <w:t>aquial, demostrándose una mejoría de la misma en todos ellos y posteriormente esta misma mejoría en pacientes con roturas irreparables del manguito rotador.</w:t>
      </w:r>
      <w:r w:rsidR="00130D75">
        <w:rPr>
          <w:color w:val="auto"/>
          <w:vertAlign w:val="superscript"/>
          <w:lang w:val="es-ES"/>
        </w:rPr>
        <w:t>18</w:t>
      </w:r>
      <w:r>
        <w:rPr>
          <w:color w:val="auto"/>
          <w:lang w:val="es-ES"/>
        </w:rPr>
        <w:t xml:space="preserve"> Así mismo, también se describió la realización de dicha técnica de manera artroscópica.</w:t>
      </w:r>
      <w:r w:rsidR="00130D75">
        <w:rPr>
          <w:color w:val="auto"/>
          <w:vertAlign w:val="superscript"/>
          <w:lang w:val="es-ES"/>
        </w:rPr>
        <w:t>19</w:t>
      </w:r>
      <w:r>
        <w:rPr>
          <w:color w:val="auto"/>
          <w:lang w:val="es-ES"/>
        </w:rPr>
        <w:t xml:space="preserve"> </w:t>
      </w:r>
    </w:p>
    <w:p w14:paraId="5B8FF90F" w14:textId="77777777" w:rsidR="00130D75" w:rsidRDefault="00130D75" w:rsidP="00751DE2">
      <w:pPr>
        <w:pStyle w:val="MDPI31text"/>
        <w:rPr>
          <w:color w:val="auto"/>
          <w:lang w:val="es-ES"/>
        </w:rPr>
      </w:pPr>
    </w:p>
    <w:p w14:paraId="3D529B40" w14:textId="77777777" w:rsidR="00130D75" w:rsidRDefault="00130D75" w:rsidP="00130D75">
      <w:pPr>
        <w:pStyle w:val="MDPI31text"/>
        <w:rPr>
          <w:color w:val="auto"/>
          <w:lang w:val="es-ES"/>
        </w:rPr>
      </w:pPr>
      <w:r>
        <w:rPr>
          <w:color w:val="auto"/>
          <w:lang w:val="es-ES"/>
        </w:rPr>
        <w:t xml:space="preserve">Por último, la prótesis invertida de hombro supondrá el tratamiento de elección cuando esta lesión articular es mayor (Hamada 3 o superior), en pacientes mayores de 65 años, con hombro pseudoparalítico o que tengan comorbilidades que impidan la realización de los tratamientos anteriores. En cuanto al tipo de prótesis invertida a utilizar, se han demostrado resultados funcionales similares entre aquellas tipo Grammont y las </w:t>
      </w:r>
      <w:r>
        <w:rPr>
          <w:color w:val="auto"/>
          <w:lang w:val="es-ES"/>
        </w:rPr>
        <w:lastRenderedPageBreak/>
        <w:t>lateralizadas, aunque estas últimas mayor rotación externa y menor pinzamiento escapular.</w:t>
      </w:r>
      <w:r>
        <w:rPr>
          <w:color w:val="auto"/>
          <w:vertAlign w:val="superscript"/>
          <w:lang w:val="es-ES"/>
        </w:rPr>
        <w:t>20,21</w:t>
      </w:r>
      <w:r>
        <w:rPr>
          <w:color w:val="auto"/>
          <w:lang w:val="es-ES"/>
        </w:rPr>
        <w:t xml:space="preserve"> </w:t>
      </w:r>
    </w:p>
    <w:p w14:paraId="251AC82F" w14:textId="77777777" w:rsidR="00130D75" w:rsidRPr="007C698F" w:rsidRDefault="00130D75" w:rsidP="00751DE2">
      <w:pPr>
        <w:pStyle w:val="MDPI31text"/>
        <w:rPr>
          <w:color w:val="auto"/>
          <w:lang w:val="es-ES"/>
        </w:rPr>
      </w:pPr>
    </w:p>
    <w:p w14:paraId="0F7E7610" w14:textId="77777777" w:rsidR="00423E1F" w:rsidRPr="005874EB" w:rsidRDefault="00423E1F" w:rsidP="00130D75">
      <w:pPr>
        <w:pStyle w:val="MDPI31text"/>
        <w:ind w:left="0" w:firstLine="0"/>
        <w:rPr>
          <w:lang w:val="es-ES"/>
        </w:rPr>
      </w:pPr>
    </w:p>
    <w:p w14:paraId="01840621" w14:textId="77777777" w:rsidR="00FE6943" w:rsidRPr="005874EB" w:rsidRDefault="00FE6943" w:rsidP="00287BE6">
      <w:pPr>
        <w:pStyle w:val="MDPI21heading1"/>
        <w:rPr>
          <w:lang w:val="es-ES"/>
        </w:rPr>
      </w:pPr>
      <w:r w:rsidRPr="005874EB">
        <w:rPr>
          <w:lang w:val="es-ES"/>
        </w:rPr>
        <w:t>5. Conc</w:t>
      </w:r>
      <w:r w:rsidR="00894D6B" w:rsidRPr="005874EB">
        <w:rPr>
          <w:lang w:val="es-ES"/>
        </w:rPr>
        <w:t>lusiones</w:t>
      </w:r>
    </w:p>
    <w:p w14:paraId="40EBC9F3" w14:textId="77777777" w:rsidR="00BB64E9" w:rsidRPr="005874EB" w:rsidRDefault="00BB64E9" w:rsidP="002C74FC">
      <w:pPr>
        <w:pStyle w:val="MDPI31text"/>
        <w:rPr>
          <w:lang w:val="es-ES"/>
        </w:rPr>
      </w:pPr>
    </w:p>
    <w:p w14:paraId="30AF3E54" w14:textId="68800D30" w:rsidR="00BB64E9" w:rsidRPr="00A92841" w:rsidRDefault="00BB64E9" w:rsidP="00BB64E9">
      <w:pPr>
        <w:pStyle w:val="MDPI31text"/>
        <w:rPr>
          <w:color w:val="auto"/>
          <w:lang w:val="es-ES"/>
        </w:rPr>
      </w:pPr>
      <w:r w:rsidRPr="005874EB">
        <w:rPr>
          <w:lang w:val="es-ES"/>
        </w:rPr>
        <w:t>El manguito rotador aporta una gran movilidad y estabilidad</w:t>
      </w:r>
      <w:r w:rsidR="00662DAE">
        <w:rPr>
          <w:lang w:val="es-ES"/>
        </w:rPr>
        <w:t xml:space="preserve"> a la articulación glenohumeral. Las roturas en el mismo se deben a factores intrínsecos y extrínsecos, y su evolución conlleva una degeneración de la articulación glenohumeral</w:t>
      </w:r>
      <w:r w:rsidR="00A92841">
        <w:rPr>
          <w:lang w:val="es-ES"/>
        </w:rPr>
        <w:t>.</w:t>
      </w:r>
      <w:r w:rsidR="0099679C">
        <w:rPr>
          <w:lang w:val="es-ES"/>
        </w:rPr>
        <w:t xml:space="preserve"> La irreparabilidad de estas roturas está </w:t>
      </w:r>
      <w:r w:rsidR="008E37CF">
        <w:rPr>
          <w:lang w:val="es-ES"/>
        </w:rPr>
        <w:t>condicionada</w:t>
      </w:r>
      <w:r w:rsidR="0099679C">
        <w:rPr>
          <w:lang w:val="es-ES"/>
        </w:rPr>
        <w:t xml:space="preserve"> por factores biológicos y mecánicos, siendo el más relevante </w:t>
      </w:r>
      <w:r w:rsidR="0099679C" w:rsidRPr="00A92841">
        <w:rPr>
          <w:color w:val="auto"/>
          <w:lang w:val="es-ES"/>
        </w:rPr>
        <w:t>la infiltración grasa clasificada por Goutallier.</w:t>
      </w:r>
    </w:p>
    <w:p w14:paraId="4DF6F3A8" w14:textId="77777777" w:rsidR="0099679C" w:rsidRPr="00A92841" w:rsidRDefault="0099679C" w:rsidP="0099679C">
      <w:pPr>
        <w:pStyle w:val="MDPI31text"/>
        <w:rPr>
          <w:color w:val="auto"/>
          <w:lang w:val="es-ES"/>
        </w:rPr>
      </w:pPr>
    </w:p>
    <w:p w14:paraId="15EE5764" w14:textId="15EF4B0E" w:rsidR="00A92841" w:rsidRPr="00A92841" w:rsidRDefault="00A92841" w:rsidP="00A92841">
      <w:pPr>
        <w:pStyle w:val="MDPI31text"/>
        <w:rPr>
          <w:color w:val="auto"/>
          <w:lang w:val="es-ES"/>
        </w:rPr>
      </w:pPr>
      <w:r w:rsidRPr="00A92841">
        <w:rPr>
          <w:color w:val="auto"/>
          <w:lang w:val="es-ES"/>
        </w:rPr>
        <w:t>En cuanto a las alternativas terapéuticas quirúrgicas, será importante valorar en primer lugar el estado de la articulación, ya que si esta presenta ya una lesión del acromion (Hamada 3 o mayor) el único tratamiento disponible será la prótesis invertida. Sin embargo, ante un Hamada 1-2 tendremos que valorar la demanda funcional del paciente. En aquellos pacientes con alta demanda funcional las trasferencias tendinosas o la reconstrucción capsular superior serán el tratamiento de elección, mientras que en aquellos con una baja demanda funcional valoraremos la función presente del paciente. En pacientes con pseudoparálisis el único tratamiento que permitirá recuperar la función de la articulación será la prótesis invertida</w:t>
      </w:r>
      <w:r w:rsidR="001D053C">
        <w:rPr>
          <w:color w:val="auto"/>
          <w:lang w:val="es-ES"/>
        </w:rPr>
        <w:t xml:space="preserve">. Por otro lado, aquellos que rechacen la prótesis o que tengan una alteración de la función menor serán una alternativa terapéutica </w:t>
      </w:r>
      <w:r w:rsidRPr="00A92841">
        <w:rPr>
          <w:color w:val="auto"/>
          <w:lang w:val="es-ES"/>
        </w:rPr>
        <w:t>la limpieza artroscópica, la tenotomía de la porción larga de</w:t>
      </w:r>
      <w:r w:rsidR="001D053C">
        <w:rPr>
          <w:color w:val="auto"/>
          <w:lang w:val="es-ES"/>
        </w:rPr>
        <w:t>l bíceps o el balón subacromial.</w:t>
      </w:r>
    </w:p>
    <w:p w14:paraId="739B4542" w14:textId="77777777" w:rsidR="00A92841" w:rsidRPr="005874EB" w:rsidRDefault="00A92841" w:rsidP="0099679C">
      <w:pPr>
        <w:pStyle w:val="MDPI31text"/>
        <w:rPr>
          <w:lang w:val="es-ES"/>
        </w:rPr>
      </w:pPr>
    </w:p>
    <w:p w14:paraId="26BCDC14" w14:textId="77777777" w:rsidR="00BB64E9" w:rsidRPr="005874EB" w:rsidRDefault="00BB64E9" w:rsidP="002C74FC">
      <w:pPr>
        <w:pStyle w:val="MDPI31text"/>
        <w:rPr>
          <w:lang w:val="es-ES"/>
        </w:rPr>
      </w:pPr>
    </w:p>
    <w:p w14:paraId="3653C2B5" w14:textId="77777777" w:rsidR="00FE6943" w:rsidRPr="005874EB" w:rsidRDefault="00A92841" w:rsidP="00BB64E9">
      <w:pPr>
        <w:pStyle w:val="MDPI62BackMatter"/>
        <w:rPr>
          <w:lang w:val="es-ES"/>
        </w:rPr>
      </w:pPr>
      <w:r>
        <w:rPr>
          <w:b/>
          <w:lang w:val="es-ES"/>
        </w:rPr>
        <w:t>Financiación</w:t>
      </w:r>
      <w:r w:rsidR="00FE6943" w:rsidRPr="005874EB">
        <w:rPr>
          <w:b/>
          <w:lang w:val="es-ES"/>
        </w:rPr>
        <w:t>:</w:t>
      </w:r>
      <w:r w:rsidR="00BB64E9" w:rsidRPr="005874EB">
        <w:rPr>
          <w:lang w:val="es-ES"/>
        </w:rPr>
        <w:t xml:space="preserve"> </w:t>
      </w:r>
      <w:r>
        <w:rPr>
          <w:lang w:val="es-ES"/>
        </w:rPr>
        <w:t>Este estudio no recibió financiación externa.</w:t>
      </w:r>
    </w:p>
    <w:p w14:paraId="4661729E" w14:textId="77777777" w:rsidR="00FE6943" w:rsidRPr="005874EB" w:rsidRDefault="00A92841" w:rsidP="00FE6943">
      <w:pPr>
        <w:pStyle w:val="MDPI62BackMatter"/>
        <w:rPr>
          <w:lang w:val="es-ES"/>
        </w:rPr>
      </w:pPr>
      <w:r>
        <w:rPr>
          <w:b/>
          <w:lang w:val="es-ES"/>
        </w:rPr>
        <w:t>Conflictos de interés</w:t>
      </w:r>
      <w:r w:rsidR="00FE6943" w:rsidRPr="005874EB">
        <w:rPr>
          <w:b/>
          <w:lang w:val="es-ES"/>
        </w:rPr>
        <w:t>:</w:t>
      </w:r>
      <w:r w:rsidR="00FE6943" w:rsidRPr="005874EB">
        <w:rPr>
          <w:lang w:val="es-ES"/>
        </w:rPr>
        <w:t xml:space="preserve"> </w:t>
      </w:r>
      <w:r>
        <w:rPr>
          <w:lang w:val="es-ES"/>
        </w:rPr>
        <w:t>Los autores declaran no tener conflictos de interés.</w:t>
      </w:r>
    </w:p>
    <w:p w14:paraId="23770193" w14:textId="77777777" w:rsidR="00456034" w:rsidRDefault="00456034">
      <w:pPr>
        <w:spacing w:line="240" w:lineRule="auto"/>
        <w:jc w:val="left"/>
        <w:rPr>
          <w:rFonts w:eastAsia="Times New Roman"/>
          <w:b/>
          <w:noProof w:val="0"/>
          <w:snapToGrid w:val="0"/>
          <w:szCs w:val="22"/>
          <w:lang w:val="es-ES" w:eastAsia="de-DE" w:bidi="en-US"/>
        </w:rPr>
      </w:pPr>
      <w:r>
        <w:rPr>
          <w:lang w:val="es-ES"/>
        </w:rPr>
        <w:br w:type="page"/>
      </w:r>
    </w:p>
    <w:p w14:paraId="278426A4" w14:textId="77777777" w:rsidR="00FE6943" w:rsidRPr="005874EB" w:rsidRDefault="00894D6B" w:rsidP="008E63F1">
      <w:pPr>
        <w:pStyle w:val="MDPI21heading1"/>
        <w:ind w:left="0"/>
        <w:rPr>
          <w:lang w:val="es-ES"/>
        </w:rPr>
      </w:pPr>
      <w:r w:rsidRPr="005874EB">
        <w:rPr>
          <w:lang w:val="es-ES"/>
        </w:rPr>
        <w:t>Bibliografía</w:t>
      </w:r>
    </w:p>
    <w:p w14:paraId="13CB2AF0" w14:textId="77777777" w:rsidR="00FE6943" w:rsidRPr="005874EB" w:rsidRDefault="00FE6943" w:rsidP="00EE3D95">
      <w:pPr>
        <w:pStyle w:val="MDPI71References"/>
        <w:numPr>
          <w:ilvl w:val="0"/>
          <w:numId w:val="0"/>
        </w:numPr>
        <w:ind w:left="425"/>
        <w:rPr>
          <w:lang w:val="es-ES"/>
        </w:rPr>
      </w:pPr>
    </w:p>
    <w:p w14:paraId="743AE5FE" w14:textId="19F96D30" w:rsidR="00641936" w:rsidRPr="00C1170B" w:rsidRDefault="00641936" w:rsidP="00FE6943">
      <w:pPr>
        <w:pStyle w:val="MDPI71References"/>
        <w:numPr>
          <w:ilvl w:val="0"/>
          <w:numId w:val="4"/>
        </w:numPr>
        <w:ind w:left="425" w:hanging="425"/>
        <w:rPr>
          <w:lang w:val="es-ES"/>
        </w:rPr>
      </w:pPr>
      <w:r w:rsidRPr="00C1170B">
        <w:rPr>
          <w:rFonts w:cs="Segoe UI"/>
          <w:b/>
          <w:color w:val="212121"/>
          <w:shd w:val="clear" w:color="auto" w:fill="FFFFFF"/>
        </w:rPr>
        <w:t>L</w:t>
      </w:r>
      <w:r w:rsidR="00435C37">
        <w:rPr>
          <w:rFonts w:cs="Segoe UI"/>
          <w:b/>
          <w:color w:val="212121"/>
          <w:shd w:val="clear" w:color="auto" w:fill="FFFFFF"/>
        </w:rPr>
        <w:t>ädermann A, Collin P, Athwal GS et al</w:t>
      </w:r>
      <w:r w:rsidRPr="00C1170B">
        <w:rPr>
          <w:rFonts w:cs="Segoe UI"/>
          <w:color w:val="212121"/>
          <w:shd w:val="clear" w:color="auto" w:fill="FFFFFF"/>
        </w:rPr>
        <w:t xml:space="preserve">. Current concepts in the primary management of irreparable posterosuperior rotator cuff tears without arthritis. </w:t>
      </w:r>
      <w:r w:rsidRPr="00C1170B">
        <w:rPr>
          <w:rFonts w:cs="Segoe UI"/>
          <w:i/>
          <w:color w:val="212121"/>
          <w:shd w:val="clear" w:color="auto" w:fill="FFFFFF"/>
        </w:rPr>
        <w:t>EFORT Open Rev</w:t>
      </w:r>
      <w:r w:rsidRPr="00C1170B">
        <w:rPr>
          <w:rFonts w:cs="Segoe UI"/>
          <w:color w:val="212121"/>
          <w:shd w:val="clear" w:color="auto" w:fill="FFFFFF"/>
        </w:rPr>
        <w:t xml:space="preserve">. 2018 May 21;3(5):200-209. </w:t>
      </w:r>
    </w:p>
    <w:p w14:paraId="129632F1" w14:textId="77777777" w:rsidR="00641936" w:rsidRPr="00C1170B" w:rsidRDefault="00641936" w:rsidP="00641936">
      <w:pPr>
        <w:pStyle w:val="MDPI71References"/>
        <w:numPr>
          <w:ilvl w:val="0"/>
          <w:numId w:val="0"/>
        </w:numPr>
        <w:ind w:left="425"/>
        <w:rPr>
          <w:b/>
          <w:lang w:val="es-ES"/>
        </w:rPr>
      </w:pPr>
    </w:p>
    <w:p w14:paraId="431CBB06" w14:textId="77777777" w:rsidR="00435C37" w:rsidRDefault="00641936" w:rsidP="00435C37">
      <w:pPr>
        <w:pStyle w:val="MDPI71References"/>
        <w:numPr>
          <w:ilvl w:val="0"/>
          <w:numId w:val="4"/>
        </w:numPr>
        <w:ind w:left="425" w:hanging="425"/>
        <w:rPr>
          <w:lang w:val="es-ES"/>
        </w:rPr>
      </w:pPr>
      <w:r w:rsidRPr="00C1170B">
        <w:rPr>
          <w:rFonts w:cs="Segoe UI"/>
          <w:b/>
          <w:color w:val="212121"/>
          <w:shd w:val="clear" w:color="auto" w:fill="FFFFFF"/>
        </w:rPr>
        <w:t>Burnier M, Elhassan BT, Sanchez-Sotelo J</w:t>
      </w:r>
      <w:r w:rsidRPr="00C1170B">
        <w:rPr>
          <w:rFonts w:cs="Segoe UI"/>
          <w:color w:val="212121"/>
          <w:shd w:val="clear" w:color="auto" w:fill="FFFFFF"/>
        </w:rPr>
        <w:t xml:space="preserve">. Surgical Management of Irreparable Rotator Cuff Tears: What Works, What Does Not, and What Is Coming. </w:t>
      </w:r>
      <w:r w:rsidRPr="00C1170B">
        <w:rPr>
          <w:rFonts w:cs="Segoe UI"/>
          <w:i/>
          <w:color w:val="212121"/>
          <w:shd w:val="clear" w:color="auto" w:fill="FFFFFF"/>
        </w:rPr>
        <w:t>J Bone Joint Surg Am</w:t>
      </w:r>
      <w:r w:rsidRPr="00C1170B">
        <w:rPr>
          <w:rFonts w:cs="Segoe UI"/>
          <w:color w:val="212121"/>
          <w:shd w:val="clear" w:color="auto" w:fill="FFFFFF"/>
        </w:rPr>
        <w:t xml:space="preserve">. 2019 Sep 4;101(17):1603-1612. </w:t>
      </w:r>
    </w:p>
    <w:p w14:paraId="44633768" w14:textId="77777777" w:rsidR="00435C37" w:rsidRDefault="00435C37" w:rsidP="00435C37">
      <w:pPr>
        <w:pStyle w:val="Prrafodelista"/>
        <w:rPr>
          <w:rFonts w:cs="Segoe UI"/>
          <w:b/>
          <w:color w:val="212121"/>
          <w:shd w:val="clear" w:color="auto" w:fill="FFFFFF"/>
        </w:rPr>
      </w:pPr>
    </w:p>
    <w:p w14:paraId="1B00F3EB" w14:textId="1E94004F" w:rsidR="00C6369B" w:rsidRPr="00435C37" w:rsidRDefault="0019063D" w:rsidP="00435C37">
      <w:pPr>
        <w:pStyle w:val="MDPI71References"/>
        <w:numPr>
          <w:ilvl w:val="0"/>
          <w:numId w:val="4"/>
        </w:numPr>
        <w:ind w:left="425" w:hanging="425"/>
        <w:rPr>
          <w:lang w:val="es-ES"/>
        </w:rPr>
      </w:pPr>
      <w:r w:rsidRPr="00435C37">
        <w:rPr>
          <w:rFonts w:cs="Segoe UI"/>
          <w:b/>
          <w:color w:val="212121"/>
          <w:shd w:val="clear" w:color="auto" w:fill="FFFFFF"/>
        </w:rPr>
        <w:t>Kovace</w:t>
      </w:r>
      <w:r w:rsidR="00435C37">
        <w:rPr>
          <w:rFonts w:cs="Segoe UI"/>
          <w:b/>
          <w:color w:val="212121"/>
          <w:shd w:val="clear" w:color="auto" w:fill="FFFFFF"/>
        </w:rPr>
        <w:t xml:space="preserve">vic D, Suriani RJ Jr, Grawe BM </w:t>
      </w:r>
      <w:r w:rsidRPr="00435C37">
        <w:rPr>
          <w:rFonts w:cs="Segoe UI"/>
          <w:b/>
          <w:color w:val="212121"/>
          <w:shd w:val="clear" w:color="auto" w:fill="FFFFFF"/>
        </w:rPr>
        <w:t>et al</w:t>
      </w:r>
      <w:r w:rsidRPr="00435C37">
        <w:rPr>
          <w:rFonts w:cs="Segoe UI"/>
          <w:color w:val="212121"/>
          <w:shd w:val="clear" w:color="auto" w:fill="FFFFFF"/>
        </w:rPr>
        <w:t xml:space="preserve">. Management of irreparable massive rotator cuff tears: a systematic review and meta-analysis of patient-reported outcomes, reoperation rates, and treatment response. </w:t>
      </w:r>
      <w:r w:rsidRPr="00435C37">
        <w:rPr>
          <w:rFonts w:cs="Segoe UI"/>
          <w:i/>
          <w:color w:val="212121"/>
          <w:shd w:val="clear" w:color="auto" w:fill="FFFFFF"/>
        </w:rPr>
        <w:t>J Shoulder Elbow Surg. 2020</w:t>
      </w:r>
      <w:r w:rsidRPr="00435C37">
        <w:rPr>
          <w:rFonts w:cs="Segoe UI"/>
          <w:color w:val="212121"/>
          <w:shd w:val="clear" w:color="auto" w:fill="FFFFFF"/>
        </w:rPr>
        <w:t xml:space="preserve"> Dec;29(12):2459-2475. </w:t>
      </w:r>
    </w:p>
    <w:p w14:paraId="66C9FDA5" w14:textId="77777777" w:rsidR="00435C37" w:rsidRPr="00435C37" w:rsidRDefault="00435C37" w:rsidP="00F40960">
      <w:pPr>
        <w:pStyle w:val="MDPI71References"/>
        <w:numPr>
          <w:ilvl w:val="0"/>
          <w:numId w:val="0"/>
        </w:numPr>
        <w:rPr>
          <w:lang w:val="es-ES"/>
        </w:rPr>
      </w:pPr>
    </w:p>
    <w:p w14:paraId="0E9A4E79" w14:textId="4B5DFF83" w:rsidR="00C6369B" w:rsidRPr="007E1E45" w:rsidRDefault="00C6369B" w:rsidP="00FE6943">
      <w:pPr>
        <w:pStyle w:val="MDPI71References"/>
        <w:numPr>
          <w:ilvl w:val="0"/>
          <w:numId w:val="4"/>
        </w:numPr>
        <w:ind w:left="425" w:hanging="425"/>
        <w:rPr>
          <w:lang w:val="es-ES"/>
        </w:rPr>
      </w:pPr>
      <w:r w:rsidRPr="00C1170B">
        <w:rPr>
          <w:rFonts w:cs="Segoe UI"/>
          <w:b/>
          <w:color w:val="212121"/>
          <w:shd w:val="clear" w:color="auto" w:fill="FFFFFF"/>
        </w:rPr>
        <w:t>Brolin TJ, Updegrove GF, Horneff JG</w:t>
      </w:r>
      <w:r w:rsidRPr="00C1170B">
        <w:rPr>
          <w:rFonts w:cs="Segoe UI"/>
          <w:color w:val="212121"/>
          <w:shd w:val="clear" w:color="auto" w:fill="FFFFFF"/>
        </w:rPr>
        <w:t xml:space="preserve">. Classifications in Brief: Hamada Classification of Massive Rotator Cuff Tears. </w:t>
      </w:r>
      <w:r w:rsidRPr="00C1170B">
        <w:rPr>
          <w:rFonts w:cs="Segoe UI"/>
          <w:i/>
          <w:color w:val="212121"/>
          <w:shd w:val="clear" w:color="auto" w:fill="FFFFFF"/>
        </w:rPr>
        <w:t>Clin Orthop Relat Res</w:t>
      </w:r>
      <w:r w:rsidRPr="00C1170B">
        <w:rPr>
          <w:rFonts w:cs="Segoe UI"/>
          <w:color w:val="212121"/>
          <w:shd w:val="clear" w:color="auto" w:fill="FFFFFF"/>
        </w:rPr>
        <w:t>. 2017 Nov;475(11):2819-2823.</w:t>
      </w:r>
    </w:p>
    <w:p w14:paraId="50C1321A" w14:textId="77777777" w:rsidR="007E1E45" w:rsidRDefault="007E1E45" w:rsidP="007E1E45">
      <w:pPr>
        <w:pStyle w:val="Prrafodelista"/>
        <w:rPr>
          <w:lang w:val="es-ES"/>
        </w:rPr>
      </w:pPr>
    </w:p>
    <w:p w14:paraId="1EABE77D" w14:textId="4A77A535" w:rsidR="007E1E45" w:rsidRPr="007E1E45" w:rsidRDefault="007E1E45" w:rsidP="00FE6943">
      <w:pPr>
        <w:pStyle w:val="MDPI71References"/>
        <w:numPr>
          <w:ilvl w:val="0"/>
          <w:numId w:val="4"/>
        </w:numPr>
        <w:ind w:left="425" w:hanging="425"/>
        <w:rPr>
          <w:rFonts w:cs="Segoe UI"/>
          <w:color w:val="212121"/>
          <w:shd w:val="clear" w:color="auto" w:fill="FFFFFF"/>
        </w:rPr>
      </w:pPr>
      <w:r w:rsidRPr="007E1E45">
        <w:rPr>
          <w:rFonts w:cs="Segoe UI"/>
          <w:b/>
          <w:color w:val="212121"/>
          <w:shd w:val="clear" w:color="auto" w:fill="FFFFFF"/>
        </w:rPr>
        <w:t>H</w:t>
      </w:r>
      <w:r w:rsidR="00435C37">
        <w:rPr>
          <w:rFonts w:cs="Segoe UI"/>
          <w:b/>
          <w:color w:val="212121"/>
          <w:shd w:val="clear" w:color="auto" w:fill="FFFFFF"/>
        </w:rPr>
        <w:t>amada K, Yamanaka K, Uchiyama Y et al</w:t>
      </w:r>
      <w:r w:rsidRPr="007E1E45">
        <w:rPr>
          <w:rFonts w:cs="Segoe UI"/>
          <w:color w:val="212121"/>
          <w:shd w:val="clear" w:color="auto" w:fill="FFFFFF"/>
        </w:rPr>
        <w:t xml:space="preserve">. A radiographic classification of massive rotator cuff tear arthritis. </w:t>
      </w:r>
      <w:r w:rsidRPr="007E1E45">
        <w:rPr>
          <w:rFonts w:cs="Segoe UI"/>
          <w:i/>
          <w:color w:val="212121"/>
          <w:shd w:val="clear" w:color="auto" w:fill="FFFFFF"/>
        </w:rPr>
        <w:t>Clin Orthop Relat Res</w:t>
      </w:r>
      <w:r w:rsidRPr="007E1E45">
        <w:rPr>
          <w:rFonts w:cs="Segoe UI"/>
          <w:color w:val="212121"/>
          <w:shd w:val="clear" w:color="auto" w:fill="FFFFFF"/>
        </w:rPr>
        <w:t>. 2011 Sep;469(9):2452-60.</w:t>
      </w:r>
    </w:p>
    <w:p w14:paraId="43DC6A4C" w14:textId="77777777" w:rsidR="007E1E45" w:rsidRDefault="007E1E45" w:rsidP="0019063D">
      <w:pPr>
        <w:pStyle w:val="Prrafodelista"/>
        <w:rPr>
          <w:lang w:val="es-ES"/>
        </w:rPr>
      </w:pPr>
    </w:p>
    <w:p w14:paraId="79E6AED0" w14:textId="4605E062" w:rsidR="0019063D" w:rsidRDefault="0019063D" w:rsidP="00FE6943">
      <w:pPr>
        <w:pStyle w:val="MDPI71References"/>
        <w:numPr>
          <w:ilvl w:val="0"/>
          <w:numId w:val="4"/>
        </w:numPr>
        <w:ind w:left="425" w:hanging="425"/>
        <w:rPr>
          <w:rFonts w:cs="Segoe UI"/>
          <w:color w:val="212121"/>
          <w:shd w:val="clear" w:color="auto" w:fill="FFFFFF"/>
        </w:rPr>
      </w:pPr>
      <w:r w:rsidRPr="0019063D">
        <w:rPr>
          <w:rFonts w:cs="Segoe UI"/>
          <w:b/>
          <w:color w:val="212121"/>
          <w:shd w:val="clear" w:color="auto" w:fill="FFFFFF"/>
        </w:rPr>
        <w:t xml:space="preserve">Kleim </w:t>
      </w:r>
      <w:r w:rsidR="00435C37">
        <w:rPr>
          <w:rFonts w:cs="Segoe UI"/>
          <w:b/>
          <w:color w:val="212121"/>
          <w:shd w:val="clear" w:color="auto" w:fill="FFFFFF"/>
        </w:rPr>
        <w:t xml:space="preserve">BD, Siebenlist S, Scheiderer B et al. </w:t>
      </w:r>
      <w:r w:rsidRPr="0019063D">
        <w:rPr>
          <w:rFonts w:cs="Segoe UI"/>
          <w:color w:val="212121"/>
          <w:shd w:val="clear" w:color="auto" w:fill="FFFFFF"/>
        </w:rPr>
        <w:t xml:space="preserve">Irreparable Rotatorenmanschettenruptur – inverse Prothese und Alternativverfahren [Irreparable rotator cuff tear-reverse shoulder arthroplasty and alternative procedures]. </w:t>
      </w:r>
      <w:r w:rsidRPr="0019063D">
        <w:rPr>
          <w:rFonts w:cs="Segoe UI"/>
          <w:i/>
          <w:color w:val="212121"/>
          <w:shd w:val="clear" w:color="auto" w:fill="FFFFFF"/>
        </w:rPr>
        <w:t>Unfallchirurg</w:t>
      </w:r>
      <w:r w:rsidRPr="0019063D">
        <w:rPr>
          <w:rFonts w:cs="Segoe UI"/>
          <w:color w:val="212121"/>
          <w:shd w:val="clear" w:color="auto" w:fill="FFFFFF"/>
        </w:rPr>
        <w:t xml:space="preserve">. </w:t>
      </w:r>
      <w:r w:rsidR="00435C37">
        <w:rPr>
          <w:rFonts w:cs="Segoe UI"/>
          <w:color w:val="212121"/>
          <w:shd w:val="clear" w:color="auto" w:fill="FFFFFF"/>
        </w:rPr>
        <w:t xml:space="preserve">2021 Feb;124(2):117-124. </w:t>
      </w:r>
      <w:r w:rsidRPr="0019063D">
        <w:rPr>
          <w:rFonts w:cs="Segoe UI"/>
          <w:color w:val="212121"/>
          <w:shd w:val="clear" w:color="auto" w:fill="FFFFFF"/>
        </w:rPr>
        <w:t xml:space="preserve"> </w:t>
      </w:r>
    </w:p>
    <w:p w14:paraId="21CD4D29" w14:textId="77777777" w:rsidR="0019063D" w:rsidRDefault="0019063D" w:rsidP="0019063D">
      <w:pPr>
        <w:pStyle w:val="Prrafodelista"/>
        <w:rPr>
          <w:rFonts w:cs="Segoe UI"/>
          <w:color w:val="212121"/>
          <w:shd w:val="clear" w:color="auto" w:fill="FFFFFF"/>
        </w:rPr>
      </w:pPr>
    </w:p>
    <w:p w14:paraId="5C15F170" w14:textId="31BFB3CB" w:rsidR="0019063D" w:rsidRPr="0019063D" w:rsidRDefault="0019063D" w:rsidP="00FE6943">
      <w:pPr>
        <w:pStyle w:val="MDPI71References"/>
        <w:numPr>
          <w:ilvl w:val="0"/>
          <w:numId w:val="4"/>
        </w:numPr>
        <w:ind w:left="425" w:hanging="425"/>
        <w:rPr>
          <w:rFonts w:cs="Segoe UI"/>
          <w:color w:val="212121"/>
          <w:shd w:val="clear" w:color="auto" w:fill="FFFFFF"/>
        </w:rPr>
      </w:pPr>
      <w:r w:rsidRPr="0019063D">
        <w:rPr>
          <w:rFonts w:cs="Segoe UI"/>
          <w:b/>
          <w:color w:val="212121"/>
          <w:shd w:val="clear" w:color="auto" w:fill="FFFFFF"/>
        </w:rPr>
        <w:t>Zvijac JE, Levy HJ, Lemak LJ</w:t>
      </w:r>
      <w:r w:rsidRPr="0019063D">
        <w:rPr>
          <w:rFonts w:cs="Segoe UI"/>
          <w:color w:val="212121"/>
          <w:shd w:val="clear" w:color="auto" w:fill="FFFFFF"/>
        </w:rPr>
        <w:t xml:space="preserve">. Arthroscopic subacromial decompression in the treatment of full thickness rotator cuff tears: a 3- to 6-year follow-up. </w:t>
      </w:r>
      <w:r w:rsidRPr="0019063D">
        <w:rPr>
          <w:rFonts w:cs="Segoe UI"/>
          <w:i/>
          <w:color w:val="212121"/>
          <w:shd w:val="clear" w:color="auto" w:fill="FFFFFF"/>
        </w:rPr>
        <w:t>Arthroscopy</w:t>
      </w:r>
      <w:r w:rsidRPr="0019063D">
        <w:rPr>
          <w:rFonts w:cs="Segoe UI"/>
          <w:color w:val="212121"/>
          <w:shd w:val="clear" w:color="auto" w:fill="FFFFFF"/>
        </w:rPr>
        <w:t>. 1994 Oct;10(5):518-23.</w:t>
      </w:r>
    </w:p>
    <w:p w14:paraId="50DC43D5" w14:textId="77777777" w:rsidR="0019063D" w:rsidRPr="0019063D" w:rsidRDefault="0019063D" w:rsidP="0019063D">
      <w:pPr>
        <w:pStyle w:val="Prrafodelista"/>
        <w:rPr>
          <w:rFonts w:eastAsia="Times New Roman" w:cs="Segoe UI"/>
          <w:noProof w:val="0"/>
          <w:color w:val="212121"/>
          <w:sz w:val="18"/>
          <w:shd w:val="clear" w:color="auto" w:fill="FFFFFF"/>
          <w:lang w:eastAsia="de-DE" w:bidi="en-US"/>
        </w:rPr>
      </w:pPr>
    </w:p>
    <w:p w14:paraId="2D231CAB" w14:textId="42800D3C" w:rsidR="0019063D" w:rsidRDefault="0019063D" w:rsidP="00FE6943">
      <w:pPr>
        <w:pStyle w:val="MDPI71References"/>
        <w:numPr>
          <w:ilvl w:val="0"/>
          <w:numId w:val="4"/>
        </w:numPr>
        <w:ind w:left="425" w:hanging="425"/>
        <w:rPr>
          <w:rFonts w:cs="Segoe UI"/>
          <w:color w:val="212121"/>
          <w:shd w:val="clear" w:color="auto" w:fill="FFFFFF"/>
        </w:rPr>
      </w:pPr>
      <w:r w:rsidRPr="0019063D">
        <w:rPr>
          <w:rFonts w:cs="Segoe UI"/>
          <w:b/>
          <w:color w:val="212121"/>
          <w:shd w:val="clear" w:color="auto" w:fill="FFFFFF"/>
        </w:rPr>
        <w:t>Ga</w:t>
      </w:r>
      <w:r w:rsidR="00435C37">
        <w:rPr>
          <w:rFonts w:cs="Segoe UI"/>
          <w:b/>
          <w:color w:val="212121"/>
          <w:shd w:val="clear" w:color="auto" w:fill="FFFFFF"/>
        </w:rPr>
        <w:t>nokroj P, Peebles AM, Vopat ML et al</w:t>
      </w:r>
      <w:r w:rsidRPr="0019063D">
        <w:rPr>
          <w:rFonts w:cs="Segoe UI"/>
          <w:color w:val="212121"/>
          <w:shd w:val="clear" w:color="auto" w:fill="FFFFFF"/>
        </w:rPr>
        <w:t xml:space="preserve">. Superior Capsular Reconstruction for Irreparable Rotator Cuff Tear. </w:t>
      </w:r>
      <w:r w:rsidRPr="0019063D">
        <w:rPr>
          <w:rFonts w:cs="Segoe UI"/>
          <w:i/>
          <w:color w:val="212121"/>
          <w:shd w:val="clear" w:color="auto" w:fill="FFFFFF"/>
        </w:rPr>
        <w:t>Clin Sports Med</w:t>
      </w:r>
      <w:r w:rsidRPr="0019063D">
        <w:rPr>
          <w:rFonts w:cs="Segoe UI"/>
          <w:color w:val="212121"/>
          <w:shd w:val="clear" w:color="auto" w:fill="FFFFFF"/>
        </w:rPr>
        <w:t xml:space="preserve">. 2023 Jan;42(1):109-124. </w:t>
      </w:r>
    </w:p>
    <w:p w14:paraId="370FA13E" w14:textId="77777777" w:rsidR="007E1E45" w:rsidRDefault="007E1E45" w:rsidP="007E1E45">
      <w:pPr>
        <w:pStyle w:val="Prrafodelista"/>
        <w:rPr>
          <w:rFonts w:cs="Segoe UI"/>
          <w:color w:val="212121"/>
          <w:shd w:val="clear" w:color="auto" w:fill="FFFFFF"/>
        </w:rPr>
      </w:pPr>
    </w:p>
    <w:p w14:paraId="1BDA69EA" w14:textId="7A17F8A7" w:rsidR="00456034" w:rsidRPr="00435C37" w:rsidRDefault="00435C37" w:rsidP="00C356D1">
      <w:pPr>
        <w:pStyle w:val="MDPI71References"/>
        <w:numPr>
          <w:ilvl w:val="0"/>
          <w:numId w:val="4"/>
        </w:numPr>
        <w:ind w:left="425" w:hanging="425"/>
        <w:rPr>
          <w:lang w:val="es-ES"/>
        </w:rPr>
      </w:pPr>
      <w:r>
        <w:rPr>
          <w:rFonts w:cs="Segoe UI"/>
          <w:b/>
          <w:color w:val="212121"/>
          <w:shd w:val="clear" w:color="auto" w:fill="FFFFFF"/>
        </w:rPr>
        <w:t>Mihata T, McGarry MH, Pirolo JM et al</w:t>
      </w:r>
      <w:r w:rsidR="007E1E45" w:rsidRPr="00435C37">
        <w:rPr>
          <w:rFonts w:cs="Segoe UI"/>
          <w:color w:val="212121"/>
          <w:shd w:val="clear" w:color="auto" w:fill="FFFFFF"/>
        </w:rPr>
        <w:t xml:space="preserve">. Superior capsule reconstruction to restore superior stability in irreparable rotator cuff tears: a biomechanical cadaveric study. </w:t>
      </w:r>
      <w:r w:rsidR="007E1E45" w:rsidRPr="00435C37">
        <w:rPr>
          <w:rFonts w:cs="Segoe UI"/>
          <w:i/>
          <w:color w:val="212121"/>
          <w:shd w:val="clear" w:color="auto" w:fill="FFFFFF"/>
        </w:rPr>
        <w:t>Am J Sports Med</w:t>
      </w:r>
      <w:r w:rsidR="007E1E45" w:rsidRPr="00435C37">
        <w:rPr>
          <w:rFonts w:cs="Segoe UI"/>
          <w:color w:val="212121"/>
          <w:shd w:val="clear" w:color="auto" w:fill="FFFFFF"/>
        </w:rPr>
        <w:t xml:space="preserve">. 2012 Oct;40(10):2248-55. </w:t>
      </w:r>
    </w:p>
    <w:p w14:paraId="14DF80C6" w14:textId="77777777" w:rsidR="00435C37" w:rsidRPr="00435C37" w:rsidRDefault="00435C37" w:rsidP="00435C37">
      <w:pPr>
        <w:pStyle w:val="MDPI71References"/>
        <w:numPr>
          <w:ilvl w:val="0"/>
          <w:numId w:val="0"/>
        </w:numPr>
        <w:rPr>
          <w:lang w:val="es-ES"/>
        </w:rPr>
      </w:pPr>
    </w:p>
    <w:p w14:paraId="080BC64A" w14:textId="4101CC89" w:rsidR="00456034" w:rsidRPr="00435C37" w:rsidRDefault="00C1170B" w:rsidP="004A2D7F">
      <w:pPr>
        <w:pStyle w:val="MDPI71References"/>
        <w:numPr>
          <w:ilvl w:val="0"/>
          <w:numId w:val="4"/>
        </w:numPr>
        <w:ind w:left="425" w:hanging="425"/>
        <w:rPr>
          <w:lang w:val="es-ES"/>
        </w:rPr>
      </w:pPr>
      <w:r w:rsidRPr="00435C37">
        <w:rPr>
          <w:rFonts w:cs="Segoe UI"/>
          <w:b/>
          <w:color w:val="212121"/>
          <w:shd w:val="clear" w:color="auto" w:fill="FFFFFF"/>
        </w:rPr>
        <w:t>Roche CP</w:t>
      </w:r>
      <w:r w:rsidRPr="00435C37">
        <w:rPr>
          <w:rFonts w:cs="Segoe UI"/>
          <w:color w:val="212121"/>
          <w:shd w:val="clear" w:color="auto" w:fill="FFFFFF"/>
        </w:rPr>
        <w:t xml:space="preserve">. Reverse Shoulder Arthroplasty Biomechanics. </w:t>
      </w:r>
      <w:r w:rsidRPr="00435C37">
        <w:rPr>
          <w:rFonts w:cs="Segoe UI"/>
          <w:i/>
          <w:color w:val="212121"/>
          <w:shd w:val="clear" w:color="auto" w:fill="FFFFFF"/>
        </w:rPr>
        <w:t>J Funct Morphol Kinesiol</w:t>
      </w:r>
      <w:r w:rsidRPr="00435C37">
        <w:rPr>
          <w:rFonts w:cs="Segoe UI"/>
          <w:color w:val="212121"/>
          <w:shd w:val="clear" w:color="auto" w:fill="FFFFFF"/>
        </w:rPr>
        <w:t xml:space="preserve">. 2022 Jan 19;7(1):13. </w:t>
      </w:r>
    </w:p>
    <w:p w14:paraId="5997310A" w14:textId="77777777" w:rsidR="00435C37" w:rsidRPr="00435C37" w:rsidRDefault="00435C37" w:rsidP="00435C37">
      <w:pPr>
        <w:pStyle w:val="MDPI71References"/>
        <w:numPr>
          <w:ilvl w:val="0"/>
          <w:numId w:val="0"/>
        </w:numPr>
        <w:rPr>
          <w:lang w:val="es-ES"/>
        </w:rPr>
      </w:pPr>
    </w:p>
    <w:p w14:paraId="46C2CAA4" w14:textId="3D581C6D" w:rsidR="00456034" w:rsidRDefault="00456034" w:rsidP="00FE6943">
      <w:pPr>
        <w:pStyle w:val="MDPI71References"/>
        <w:numPr>
          <w:ilvl w:val="0"/>
          <w:numId w:val="4"/>
        </w:numPr>
        <w:ind w:left="425" w:hanging="425"/>
        <w:rPr>
          <w:rFonts w:cs="Segoe UI"/>
          <w:color w:val="212121"/>
          <w:shd w:val="clear" w:color="auto" w:fill="FFFFFF"/>
        </w:rPr>
      </w:pPr>
      <w:r w:rsidRPr="00456034">
        <w:rPr>
          <w:rFonts w:cs="Segoe UI"/>
          <w:b/>
          <w:color w:val="212121"/>
          <w:shd w:val="clear" w:color="auto" w:fill="FFFFFF"/>
        </w:rPr>
        <w:t>Dera</w:t>
      </w:r>
      <w:r w:rsidR="00435C37">
        <w:rPr>
          <w:rFonts w:cs="Segoe UI"/>
          <w:b/>
          <w:color w:val="212121"/>
          <w:shd w:val="clear" w:color="auto" w:fill="FFFFFF"/>
        </w:rPr>
        <w:t>nlot J, Herisson O, Nourissat G et al</w:t>
      </w:r>
      <w:r w:rsidRPr="00456034">
        <w:rPr>
          <w:rFonts w:cs="Segoe UI"/>
          <w:color w:val="212121"/>
          <w:shd w:val="clear" w:color="auto" w:fill="FFFFFF"/>
        </w:rPr>
        <w:t xml:space="preserve">. Arthroscopic Subacromial Spacer Implantation in Patients With Massive Irreparable Rotator Cuff Tears: Clinical and Radiographic Results of 39 Retrospectives Cases. </w:t>
      </w:r>
      <w:r w:rsidRPr="00456034">
        <w:rPr>
          <w:rFonts w:cs="Segoe UI"/>
          <w:i/>
          <w:color w:val="212121"/>
          <w:shd w:val="clear" w:color="auto" w:fill="FFFFFF"/>
        </w:rPr>
        <w:t>Arthroscopy</w:t>
      </w:r>
      <w:r w:rsidRPr="00456034">
        <w:rPr>
          <w:rFonts w:cs="Segoe UI"/>
          <w:color w:val="212121"/>
          <w:shd w:val="clear" w:color="auto" w:fill="FFFFFF"/>
        </w:rPr>
        <w:t xml:space="preserve">. 2017 Sep;33(9):1639-1644. </w:t>
      </w:r>
    </w:p>
    <w:p w14:paraId="39E4D38A" w14:textId="77777777" w:rsidR="00751DE2" w:rsidRDefault="00751DE2" w:rsidP="00751DE2">
      <w:pPr>
        <w:pStyle w:val="Prrafodelista"/>
        <w:rPr>
          <w:rFonts w:cs="Segoe UI"/>
          <w:color w:val="212121"/>
          <w:shd w:val="clear" w:color="auto" w:fill="FFFFFF"/>
        </w:rPr>
      </w:pPr>
    </w:p>
    <w:p w14:paraId="1A94266F" w14:textId="1AF0B3D5" w:rsidR="00751DE2" w:rsidRDefault="00751DE2" w:rsidP="00FE6943">
      <w:pPr>
        <w:pStyle w:val="MDPI71References"/>
        <w:numPr>
          <w:ilvl w:val="0"/>
          <w:numId w:val="4"/>
        </w:numPr>
        <w:ind w:left="425" w:hanging="425"/>
        <w:rPr>
          <w:rFonts w:cs="Segoe UI"/>
          <w:color w:val="212121"/>
          <w:shd w:val="clear" w:color="auto" w:fill="FFFFFF"/>
        </w:rPr>
      </w:pPr>
      <w:r w:rsidRPr="00751DE2">
        <w:rPr>
          <w:rFonts w:cs="Segoe UI"/>
          <w:b/>
          <w:color w:val="212121"/>
          <w:shd w:val="clear" w:color="auto" w:fill="FFFFFF"/>
        </w:rPr>
        <w:t xml:space="preserve">Senekovic V, Poberaj B, Kovacic </w:t>
      </w:r>
      <w:r w:rsidR="00435C37">
        <w:rPr>
          <w:rFonts w:cs="Segoe UI"/>
          <w:b/>
          <w:color w:val="212121"/>
          <w:shd w:val="clear" w:color="auto" w:fill="FFFFFF"/>
        </w:rPr>
        <w:t xml:space="preserve">L </w:t>
      </w:r>
      <w:r>
        <w:rPr>
          <w:rFonts w:cs="Segoe UI"/>
          <w:b/>
          <w:color w:val="212121"/>
          <w:shd w:val="clear" w:color="auto" w:fill="FFFFFF"/>
        </w:rPr>
        <w:t>et al</w:t>
      </w:r>
      <w:r w:rsidRPr="00751DE2">
        <w:rPr>
          <w:rFonts w:cs="Segoe UI"/>
          <w:color w:val="212121"/>
          <w:shd w:val="clear" w:color="auto" w:fill="FFFFFF"/>
        </w:rPr>
        <w:t xml:space="preserve">. The biodegradable spacer as a novel treatment modality for massive rotator cuff tears: a prospective study with 5-year follow-up. </w:t>
      </w:r>
      <w:r w:rsidRPr="00751DE2">
        <w:rPr>
          <w:rFonts w:cs="Segoe UI"/>
          <w:i/>
          <w:color w:val="212121"/>
          <w:shd w:val="clear" w:color="auto" w:fill="FFFFFF"/>
        </w:rPr>
        <w:t>Arch Orthop Trauma Surg</w:t>
      </w:r>
      <w:r w:rsidRPr="00751DE2">
        <w:rPr>
          <w:rFonts w:cs="Segoe UI"/>
          <w:color w:val="212121"/>
          <w:shd w:val="clear" w:color="auto" w:fill="FFFFFF"/>
        </w:rPr>
        <w:t xml:space="preserve">. 2017 Jan;137(1):95-103. </w:t>
      </w:r>
    </w:p>
    <w:p w14:paraId="409326DF" w14:textId="77777777" w:rsidR="00751DE2" w:rsidRDefault="00751DE2" w:rsidP="00751DE2">
      <w:pPr>
        <w:pStyle w:val="Prrafodelista"/>
        <w:rPr>
          <w:rFonts w:cs="Segoe UI"/>
          <w:color w:val="212121"/>
          <w:shd w:val="clear" w:color="auto" w:fill="FFFFFF"/>
        </w:rPr>
      </w:pPr>
    </w:p>
    <w:p w14:paraId="68471BD7" w14:textId="26282840" w:rsidR="00751DE2" w:rsidRDefault="00435C37" w:rsidP="00FE6943">
      <w:pPr>
        <w:pStyle w:val="MDPI71References"/>
        <w:numPr>
          <w:ilvl w:val="0"/>
          <w:numId w:val="4"/>
        </w:numPr>
        <w:ind w:left="425" w:hanging="425"/>
        <w:rPr>
          <w:rFonts w:cs="Segoe UI"/>
          <w:color w:val="212121"/>
          <w:shd w:val="clear" w:color="auto" w:fill="FFFFFF"/>
        </w:rPr>
      </w:pPr>
      <w:r>
        <w:rPr>
          <w:rFonts w:cs="Segoe UI"/>
          <w:b/>
          <w:color w:val="212121"/>
          <w:shd w:val="clear" w:color="auto" w:fill="FFFFFF"/>
        </w:rPr>
        <w:t xml:space="preserve">Prat D, Tenenbaum S, Pritsch M et al. </w:t>
      </w:r>
      <w:r w:rsidR="00751DE2" w:rsidRPr="00751DE2">
        <w:rPr>
          <w:rFonts w:cs="Segoe UI"/>
          <w:color w:val="212121"/>
          <w:shd w:val="clear" w:color="auto" w:fill="FFFFFF"/>
        </w:rPr>
        <w:t>Sub-acromial balloon spacer for irreparable rotator cuff tears: Is it an appropriate salvage procedure?</w:t>
      </w:r>
      <w:r w:rsidR="00751DE2" w:rsidRPr="00751DE2">
        <w:rPr>
          <w:rFonts w:cs="Segoe UI"/>
          <w:i/>
          <w:color w:val="212121"/>
          <w:shd w:val="clear" w:color="auto" w:fill="FFFFFF"/>
        </w:rPr>
        <w:t xml:space="preserve"> J Orthop Surg</w:t>
      </w:r>
      <w:r w:rsidR="00751DE2" w:rsidRPr="00751DE2">
        <w:rPr>
          <w:rFonts w:cs="Segoe UI"/>
          <w:color w:val="212121"/>
          <w:shd w:val="clear" w:color="auto" w:fill="FFFFFF"/>
        </w:rPr>
        <w:t xml:space="preserve"> (Hong Kong). 2018</w:t>
      </w:r>
      <w:r>
        <w:rPr>
          <w:rFonts w:cs="Segoe UI"/>
          <w:color w:val="212121"/>
          <w:shd w:val="clear" w:color="auto" w:fill="FFFFFF"/>
        </w:rPr>
        <w:t xml:space="preserve"> May-Aug;26(2):2309499018770887.</w:t>
      </w:r>
      <w:r w:rsidR="00751DE2" w:rsidRPr="00751DE2">
        <w:rPr>
          <w:rFonts w:cs="Segoe UI"/>
          <w:color w:val="212121"/>
          <w:shd w:val="clear" w:color="auto" w:fill="FFFFFF"/>
        </w:rPr>
        <w:t xml:space="preserve"> </w:t>
      </w:r>
    </w:p>
    <w:p w14:paraId="0B03F75A" w14:textId="77777777" w:rsidR="00751DE2" w:rsidRDefault="00751DE2" w:rsidP="00751DE2">
      <w:pPr>
        <w:pStyle w:val="Prrafodelista"/>
        <w:rPr>
          <w:rFonts w:cs="Segoe UI"/>
          <w:color w:val="212121"/>
          <w:shd w:val="clear" w:color="auto" w:fill="FFFFFF"/>
        </w:rPr>
      </w:pPr>
    </w:p>
    <w:p w14:paraId="33BE8231" w14:textId="292F96B4" w:rsidR="007C698F" w:rsidRDefault="00751DE2" w:rsidP="00177A93">
      <w:pPr>
        <w:pStyle w:val="MDPI71References"/>
        <w:numPr>
          <w:ilvl w:val="0"/>
          <w:numId w:val="4"/>
        </w:numPr>
        <w:ind w:left="425" w:hanging="425"/>
        <w:rPr>
          <w:rFonts w:cs="Segoe UI"/>
          <w:color w:val="212121"/>
          <w:shd w:val="clear" w:color="auto" w:fill="FFFFFF"/>
        </w:rPr>
      </w:pPr>
      <w:r w:rsidRPr="00435C37">
        <w:rPr>
          <w:rFonts w:cs="Segoe UI"/>
          <w:b/>
          <w:color w:val="212121"/>
          <w:shd w:val="clear" w:color="auto" w:fill="FFFFFF"/>
        </w:rPr>
        <w:t>Mallon WJ</w:t>
      </w:r>
      <w:r w:rsidRPr="00435C37">
        <w:rPr>
          <w:rFonts w:cs="Segoe UI"/>
          <w:color w:val="212121"/>
          <w:shd w:val="clear" w:color="auto" w:fill="FFFFFF"/>
        </w:rPr>
        <w:t xml:space="preserve">. Biceps tenotomy vs. tenodesis. </w:t>
      </w:r>
      <w:r w:rsidRPr="00435C37">
        <w:rPr>
          <w:rFonts w:cs="Segoe UI"/>
          <w:i/>
          <w:color w:val="212121"/>
          <w:shd w:val="clear" w:color="auto" w:fill="FFFFFF"/>
        </w:rPr>
        <w:t>J Shoulder Elbow Surg</w:t>
      </w:r>
      <w:r w:rsidRPr="00435C37">
        <w:rPr>
          <w:rFonts w:cs="Segoe UI"/>
          <w:color w:val="212121"/>
          <w:shd w:val="clear" w:color="auto" w:fill="FFFFFF"/>
        </w:rPr>
        <w:t xml:space="preserve">. 2021 May;30(5):949-950. </w:t>
      </w:r>
    </w:p>
    <w:p w14:paraId="544FF5D7" w14:textId="77777777" w:rsidR="00435C37" w:rsidRPr="00435C37" w:rsidRDefault="00435C37" w:rsidP="00435C37">
      <w:pPr>
        <w:pStyle w:val="MDPI71References"/>
        <w:numPr>
          <w:ilvl w:val="0"/>
          <w:numId w:val="0"/>
        </w:numPr>
        <w:rPr>
          <w:rFonts w:cs="Segoe UI"/>
          <w:color w:val="212121"/>
          <w:shd w:val="clear" w:color="auto" w:fill="FFFFFF"/>
        </w:rPr>
      </w:pPr>
    </w:p>
    <w:p w14:paraId="2E955CF5" w14:textId="1D9E88C8" w:rsidR="007C698F" w:rsidRDefault="00435C37" w:rsidP="00FE6943">
      <w:pPr>
        <w:pStyle w:val="MDPI71References"/>
        <w:numPr>
          <w:ilvl w:val="0"/>
          <w:numId w:val="4"/>
        </w:numPr>
        <w:ind w:left="425" w:hanging="425"/>
        <w:rPr>
          <w:rFonts w:cs="Segoe UI"/>
          <w:color w:val="212121"/>
          <w:shd w:val="clear" w:color="auto" w:fill="FFFFFF"/>
        </w:rPr>
      </w:pPr>
      <w:r>
        <w:rPr>
          <w:rFonts w:cs="Segoe UI"/>
          <w:b/>
          <w:color w:val="212121"/>
          <w:shd w:val="clear" w:color="auto" w:fill="FFFFFF"/>
        </w:rPr>
        <w:t>Rhee YG, Cho NS, Lim CT et al</w:t>
      </w:r>
      <w:r w:rsidR="007C698F" w:rsidRPr="007C698F">
        <w:rPr>
          <w:rFonts w:cs="Segoe UI"/>
          <w:color w:val="212121"/>
          <w:shd w:val="clear" w:color="auto" w:fill="FFFFFF"/>
        </w:rPr>
        <w:t xml:space="preserve">. Bridging the gap in immobile massive rotator cuff tears: augmentation using the tenotomized biceps. </w:t>
      </w:r>
      <w:r w:rsidR="007C698F" w:rsidRPr="007C698F">
        <w:rPr>
          <w:rFonts w:cs="Segoe UI"/>
          <w:i/>
          <w:color w:val="212121"/>
          <w:shd w:val="clear" w:color="auto" w:fill="FFFFFF"/>
        </w:rPr>
        <w:t>Am J Sports Med</w:t>
      </w:r>
      <w:r w:rsidR="007C698F" w:rsidRPr="007C698F">
        <w:rPr>
          <w:rFonts w:cs="Segoe UI"/>
          <w:color w:val="212121"/>
          <w:shd w:val="clear" w:color="auto" w:fill="FFFFFF"/>
        </w:rPr>
        <w:t xml:space="preserve">. 2008 Aug;36(8):1511-8. </w:t>
      </w:r>
    </w:p>
    <w:p w14:paraId="331BDD99" w14:textId="77777777" w:rsidR="007C698F" w:rsidRDefault="007C698F" w:rsidP="007C698F">
      <w:pPr>
        <w:pStyle w:val="Prrafodelista"/>
        <w:rPr>
          <w:rFonts w:cs="Segoe UI"/>
          <w:color w:val="212121"/>
          <w:shd w:val="clear" w:color="auto" w:fill="FFFFFF"/>
        </w:rPr>
      </w:pPr>
    </w:p>
    <w:p w14:paraId="4F111212" w14:textId="3F3AAE4E" w:rsidR="007C698F" w:rsidRPr="00130D75" w:rsidRDefault="001D053C" w:rsidP="00FE6943">
      <w:pPr>
        <w:pStyle w:val="MDPI71References"/>
        <w:numPr>
          <w:ilvl w:val="0"/>
          <w:numId w:val="4"/>
        </w:numPr>
        <w:ind w:left="425" w:hanging="425"/>
        <w:rPr>
          <w:rFonts w:cs="Segoe UI"/>
          <w:color w:val="212121"/>
          <w:shd w:val="clear" w:color="auto" w:fill="FFFFFF"/>
        </w:rPr>
      </w:pPr>
      <w:r>
        <w:rPr>
          <w:rFonts w:cs="Segoe UI"/>
          <w:b/>
          <w:color w:val="212121"/>
          <w:shd w:val="clear" w:color="auto" w:fill="FFFFFF"/>
        </w:rPr>
        <w:t xml:space="preserve">Boutsiadis A, Chen S, Jiang C et al. </w:t>
      </w:r>
      <w:r w:rsidR="007C698F" w:rsidRPr="007C698F">
        <w:rPr>
          <w:rFonts w:cs="Segoe UI"/>
          <w:color w:val="212121"/>
          <w:shd w:val="clear" w:color="auto" w:fill="FFFFFF"/>
        </w:rPr>
        <w:t xml:space="preserve">Long Head of the Biceps as a Suitable Available Local Tissue Autograft for Superior Capsular Reconstruction: "The Chinese Way". </w:t>
      </w:r>
      <w:r w:rsidR="007C698F" w:rsidRPr="007C698F">
        <w:rPr>
          <w:rFonts w:cs="Segoe UI"/>
          <w:i/>
          <w:color w:val="212121"/>
          <w:shd w:val="clear" w:color="auto" w:fill="FFFFFF"/>
        </w:rPr>
        <w:t>Arthrosc Tech</w:t>
      </w:r>
      <w:r w:rsidR="007C698F" w:rsidRPr="007C698F">
        <w:rPr>
          <w:rFonts w:cs="Segoe UI"/>
          <w:color w:val="212121"/>
          <w:shd w:val="clear" w:color="auto" w:fill="FFFFFF"/>
        </w:rPr>
        <w:t xml:space="preserve">. 2017 Oct 12;6(5):e1559-e1566. </w:t>
      </w:r>
    </w:p>
    <w:p w14:paraId="5CEF0E0F" w14:textId="77777777" w:rsidR="00130D75" w:rsidRDefault="00130D75" w:rsidP="00130D75">
      <w:pPr>
        <w:pStyle w:val="Prrafodelista"/>
        <w:rPr>
          <w:rFonts w:cs="Segoe UI"/>
          <w:color w:val="212121"/>
          <w:shd w:val="clear" w:color="auto" w:fill="FFFFFF"/>
        </w:rPr>
      </w:pPr>
    </w:p>
    <w:p w14:paraId="59FB4744" w14:textId="22A79891" w:rsidR="00130D75" w:rsidRDefault="00130D75" w:rsidP="00FE6943">
      <w:pPr>
        <w:pStyle w:val="MDPI71References"/>
        <w:numPr>
          <w:ilvl w:val="0"/>
          <w:numId w:val="4"/>
        </w:numPr>
        <w:ind w:left="425" w:hanging="425"/>
        <w:rPr>
          <w:rFonts w:cs="Segoe UI"/>
          <w:color w:val="212121"/>
          <w:shd w:val="clear" w:color="auto" w:fill="FFFFFF"/>
        </w:rPr>
      </w:pPr>
      <w:r w:rsidRPr="00130D75">
        <w:rPr>
          <w:rFonts w:cs="Segoe UI"/>
          <w:b/>
          <w:color w:val="212121"/>
          <w:shd w:val="clear" w:color="auto" w:fill="FFFFFF"/>
        </w:rPr>
        <w:t>Elhassan B</w:t>
      </w:r>
      <w:r w:rsidRPr="00130D75">
        <w:rPr>
          <w:rFonts w:cs="Segoe UI"/>
          <w:color w:val="212121"/>
          <w:shd w:val="clear" w:color="auto" w:fill="FFFFFF"/>
        </w:rPr>
        <w:t xml:space="preserve">. Lower trapezius transfer for shoulder external rotation in patients with paralytic shoulder. </w:t>
      </w:r>
      <w:r w:rsidRPr="00130D75">
        <w:rPr>
          <w:rFonts w:cs="Segoe UI"/>
          <w:i/>
          <w:color w:val="212121"/>
          <w:shd w:val="clear" w:color="auto" w:fill="FFFFFF"/>
        </w:rPr>
        <w:t>J Hand Surg Am</w:t>
      </w:r>
      <w:r w:rsidRPr="00130D75">
        <w:rPr>
          <w:rFonts w:cs="Segoe UI"/>
          <w:color w:val="212121"/>
          <w:shd w:val="clear" w:color="auto" w:fill="FFFFFF"/>
        </w:rPr>
        <w:t xml:space="preserve">. 2014 Mar;39(3):556-62. </w:t>
      </w:r>
    </w:p>
    <w:p w14:paraId="17E9D22C" w14:textId="77777777" w:rsidR="00130D75" w:rsidRDefault="00130D75" w:rsidP="00130D75">
      <w:pPr>
        <w:pStyle w:val="Prrafodelista"/>
        <w:rPr>
          <w:rFonts w:cs="Segoe UI"/>
          <w:color w:val="212121"/>
          <w:shd w:val="clear" w:color="auto" w:fill="FFFFFF"/>
        </w:rPr>
      </w:pPr>
    </w:p>
    <w:p w14:paraId="0030ACFE" w14:textId="66BA896E" w:rsidR="00130D75" w:rsidRDefault="00130D75" w:rsidP="00FE6943">
      <w:pPr>
        <w:pStyle w:val="MDPI71References"/>
        <w:numPr>
          <w:ilvl w:val="0"/>
          <w:numId w:val="4"/>
        </w:numPr>
        <w:ind w:left="425" w:hanging="425"/>
        <w:rPr>
          <w:rFonts w:cs="Segoe UI"/>
          <w:color w:val="212121"/>
          <w:shd w:val="clear" w:color="auto" w:fill="FFFFFF"/>
        </w:rPr>
      </w:pPr>
      <w:r w:rsidRPr="00130D75">
        <w:rPr>
          <w:rFonts w:cs="Segoe UI"/>
          <w:b/>
          <w:color w:val="212121"/>
          <w:shd w:val="clear" w:color="auto" w:fill="FFFFFF"/>
        </w:rPr>
        <w:t>Elhassan BT, Wagner ER, Werthel JD</w:t>
      </w:r>
      <w:r w:rsidR="001D053C">
        <w:rPr>
          <w:rFonts w:cs="Segoe UI"/>
          <w:color w:val="212121"/>
          <w:shd w:val="clear" w:color="auto" w:fill="FFFFFF"/>
        </w:rPr>
        <w:t>.</w:t>
      </w:r>
      <w:r w:rsidRPr="00130D75">
        <w:rPr>
          <w:rFonts w:cs="Segoe UI"/>
          <w:color w:val="212121"/>
          <w:shd w:val="clear" w:color="auto" w:fill="FFFFFF"/>
        </w:rPr>
        <w:t xml:space="preserve"> Outcome of lower trapezius transfer to reconstruct massive irreparable posterior-superior rotator cuff tear. </w:t>
      </w:r>
      <w:r w:rsidRPr="00130D75">
        <w:rPr>
          <w:rFonts w:cs="Segoe UI"/>
          <w:i/>
          <w:color w:val="212121"/>
          <w:shd w:val="clear" w:color="auto" w:fill="FFFFFF"/>
        </w:rPr>
        <w:t>J Shoulder Elbow Surg</w:t>
      </w:r>
      <w:r w:rsidRPr="00130D75">
        <w:rPr>
          <w:rFonts w:cs="Segoe UI"/>
          <w:color w:val="212121"/>
          <w:shd w:val="clear" w:color="auto" w:fill="FFFFFF"/>
        </w:rPr>
        <w:t xml:space="preserve">. 2016 Aug;25(8):1346-53. </w:t>
      </w:r>
    </w:p>
    <w:p w14:paraId="666938EE" w14:textId="77777777" w:rsidR="00130D75" w:rsidRDefault="00130D75" w:rsidP="00130D75">
      <w:pPr>
        <w:pStyle w:val="Prrafodelista"/>
        <w:rPr>
          <w:rFonts w:cs="Segoe UI"/>
          <w:color w:val="212121"/>
          <w:shd w:val="clear" w:color="auto" w:fill="FFFFFF"/>
        </w:rPr>
      </w:pPr>
    </w:p>
    <w:p w14:paraId="6DB9E631" w14:textId="1FA4A984" w:rsidR="00130D75" w:rsidRDefault="00130D75" w:rsidP="00FE6943">
      <w:pPr>
        <w:pStyle w:val="MDPI71References"/>
        <w:numPr>
          <w:ilvl w:val="0"/>
          <w:numId w:val="4"/>
        </w:numPr>
        <w:ind w:left="425" w:hanging="425"/>
        <w:rPr>
          <w:rFonts w:cs="Segoe UI"/>
          <w:color w:val="212121"/>
          <w:shd w:val="clear" w:color="auto" w:fill="FFFFFF"/>
        </w:rPr>
      </w:pPr>
      <w:r w:rsidRPr="00130D75">
        <w:rPr>
          <w:rFonts w:cs="Segoe UI"/>
          <w:b/>
          <w:color w:val="212121"/>
          <w:shd w:val="clear" w:color="auto" w:fill="FFFFFF"/>
        </w:rPr>
        <w:t>Elhassan BT, A</w:t>
      </w:r>
      <w:r w:rsidR="001D053C">
        <w:rPr>
          <w:rFonts w:cs="Segoe UI"/>
          <w:b/>
          <w:color w:val="212121"/>
          <w:shd w:val="clear" w:color="auto" w:fill="FFFFFF"/>
        </w:rPr>
        <w:t>lentorn-Geli E, Assenmacher AT et al.</w:t>
      </w:r>
      <w:r w:rsidRPr="00130D75">
        <w:rPr>
          <w:rFonts w:cs="Segoe UI"/>
          <w:color w:val="212121"/>
          <w:shd w:val="clear" w:color="auto" w:fill="FFFFFF"/>
        </w:rPr>
        <w:t xml:space="preserve"> Arthroscopic-Assisted Lower Trapezius Tendon Transfer for Massive Irreparable Posterior-Superior Rotator Cuff Tears: Surgical Technique. </w:t>
      </w:r>
      <w:r w:rsidRPr="00130D75">
        <w:rPr>
          <w:rFonts w:cs="Segoe UI"/>
          <w:i/>
          <w:color w:val="212121"/>
          <w:shd w:val="clear" w:color="auto" w:fill="FFFFFF"/>
        </w:rPr>
        <w:t>Arthrosc Tech</w:t>
      </w:r>
      <w:r w:rsidRPr="00130D75">
        <w:rPr>
          <w:rFonts w:cs="Segoe UI"/>
          <w:color w:val="212121"/>
          <w:shd w:val="clear" w:color="auto" w:fill="FFFFFF"/>
        </w:rPr>
        <w:t xml:space="preserve">. 2016 Aug 29;5(5):e981-e988. </w:t>
      </w:r>
    </w:p>
    <w:p w14:paraId="0FC0C4F7" w14:textId="77777777" w:rsidR="00130D75" w:rsidRDefault="00130D75" w:rsidP="00130D75">
      <w:pPr>
        <w:pStyle w:val="Prrafodelista"/>
        <w:rPr>
          <w:rFonts w:cs="Segoe UI"/>
          <w:color w:val="212121"/>
          <w:shd w:val="clear" w:color="auto" w:fill="FFFFFF"/>
        </w:rPr>
      </w:pPr>
    </w:p>
    <w:p w14:paraId="7150DF11" w14:textId="0D5C9BA9" w:rsidR="00130D75" w:rsidRDefault="001D053C" w:rsidP="00FE6943">
      <w:pPr>
        <w:pStyle w:val="MDPI71References"/>
        <w:numPr>
          <w:ilvl w:val="0"/>
          <w:numId w:val="4"/>
        </w:numPr>
        <w:ind w:left="425" w:hanging="425"/>
        <w:rPr>
          <w:rFonts w:cs="Segoe UI"/>
          <w:color w:val="212121"/>
          <w:shd w:val="clear" w:color="auto" w:fill="FFFFFF"/>
        </w:rPr>
      </w:pPr>
      <w:r>
        <w:rPr>
          <w:rFonts w:cs="Segoe UI"/>
          <w:b/>
          <w:color w:val="212121"/>
          <w:shd w:val="clear" w:color="auto" w:fill="FFFFFF"/>
        </w:rPr>
        <w:t xml:space="preserve">Merolla G, Walch G, Ascione F </w:t>
      </w:r>
      <w:r w:rsidR="00994BBA" w:rsidRPr="00994BBA">
        <w:rPr>
          <w:rFonts w:cs="Segoe UI"/>
          <w:b/>
          <w:color w:val="212121"/>
          <w:shd w:val="clear" w:color="auto" w:fill="FFFFFF"/>
        </w:rPr>
        <w:t>et al</w:t>
      </w:r>
      <w:r w:rsidR="00130D75" w:rsidRPr="00130D75">
        <w:rPr>
          <w:rFonts w:cs="Segoe UI"/>
          <w:color w:val="212121"/>
          <w:shd w:val="clear" w:color="auto" w:fill="FFFFFF"/>
        </w:rPr>
        <w:t xml:space="preserve">. Grammont humeral design versus onlay curved-stem reverse shoulder arthroplasty: comparison of clinical and radiographic outcomes with minimum 2-year follow-up. </w:t>
      </w:r>
      <w:r w:rsidR="00130D75" w:rsidRPr="00130D75">
        <w:rPr>
          <w:rFonts w:cs="Segoe UI"/>
          <w:i/>
          <w:color w:val="212121"/>
          <w:shd w:val="clear" w:color="auto" w:fill="FFFFFF"/>
        </w:rPr>
        <w:t>J Shoulder Elbow Surg</w:t>
      </w:r>
      <w:r w:rsidR="00130D75" w:rsidRPr="00130D75">
        <w:rPr>
          <w:rFonts w:cs="Segoe UI"/>
          <w:color w:val="212121"/>
          <w:shd w:val="clear" w:color="auto" w:fill="FFFFFF"/>
        </w:rPr>
        <w:t xml:space="preserve">. 2018 Apr;27(4):701-710. </w:t>
      </w:r>
    </w:p>
    <w:p w14:paraId="468A76E0" w14:textId="77777777" w:rsidR="00994BBA" w:rsidRDefault="00994BBA" w:rsidP="00994BBA">
      <w:pPr>
        <w:pStyle w:val="Prrafodelista"/>
        <w:rPr>
          <w:rFonts w:cs="Segoe UI"/>
          <w:color w:val="212121"/>
          <w:shd w:val="clear" w:color="auto" w:fill="FFFFFF"/>
        </w:rPr>
      </w:pPr>
    </w:p>
    <w:p w14:paraId="48FF5833" w14:textId="793487D6" w:rsidR="00353158" w:rsidRPr="00994BBA" w:rsidRDefault="001D053C" w:rsidP="00994BBA">
      <w:pPr>
        <w:pStyle w:val="MDPI71References"/>
        <w:numPr>
          <w:ilvl w:val="0"/>
          <w:numId w:val="4"/>
        </w:numPr>
        <w:ind w:left="425" w:hanging="425"/>
        <w:rPr>
          <w:rFonts w:cs="Segoe UI"/>
          <w:color w:val="212121"/>
          <w:shd w:val="clear" w:color="auto" w:fill="FFFFFF"/>
        </w:rPr>
      </w:pPr>
      <w:r>
        <w:rPr>
          <w:rFonts w:cs="Segoe UI"/>
          <w:b/>
          <w:color w:val="212121"/>
          <w:shd w:val="clear" w:color="auto" w:fill="FFFFFF"/>
        </w:rPr>
        <w:t>Nunes B, Linhares D, Costa F et al</w:t>
      </w:r>
      <w:r w:rsidR="00994BBA" w:rsidRPr="00994BBA">
        <w:rPr>
          <w:rFonts w:cs="Segoe UI"/>
          <w:color w:val="212121"/>
          <w:shd w:val="clear" w:color="auto" w:fill="FFFFFF"/>
        </w:rPr>
        <w:t xml:space="preserve">. Lateralized versus nonlateralized glenospheres in reverse shoulder arthroplasty: a systematic review with meta-analysis. </w:t>
      </w:r>
      <w:r w:rsidR="00994BBA" w:rsidRPr="00994BBA">
        <w:rPr>
          <w:rFonts w:cs="Segoe UI"/>
          <w:i/>
          <w:color w:val="212121"/>
          <w:shd w:val="clear" w:color="auto" w:fill="FFFFFF"/>
        </w:rPr>
        <w:t>J Shoulder Elbow Surg</w:t>
      </w:r>
      <w:r w:rsidR="00994BBA" w:rsidRPr="00994BBA">
        <w:rPr>
          <w:rFonts w:cs="Segoe UI"/>
          <w:color w:val="212121"/>
          <w:shd w:val="clear" w:color="auto" w:fill="FFFFFF"/>
        </w:rPr>
        <w:t>. 2021 Jul;30(7):1700-1713..</w:t>
      </w:r>
    </w:p>
    <w:sectPr w:rsidR="00353158" w:rsidRPr="00994BBA" w:rsidSect="00F20DC0">
      <w:headerReference w:type="even" r:id="rId10"/>
      <w:headerReference w:type="default" r:id="rId11"/>
      <w:footerReference w:type="default" r:id="rId12"/>
      <w:headerReference w:type="first" r:id="rId13"/>
      <w:footerReference w:type="first" r:id="rId14"/>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FB88" w14:textId="77777777" w:rsidR="00BE1804" w:rsidRDefault="00BE1804">
      <w:pPr>
        <w:spacing w:line="240" w:lineRule="auto"/>
      </w:pPr>
      <w:r>
        <w:separator/>
      </w:r>
    </w:p>
  </w:endnote>
  <w:endnote w:type="continuationSeparator" w:id="0">
    <w:p w14:paraId="5535F663" w14:textId="77777777" w:rsidR="00BE1804" w:rsidRDefault="00BE1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0A7C" w14:textId="77777777" w:rsidR="007C698F" w:rsidRPr="00032917" w:rsidRDefault="007C698F" w:rsidP="00357C8D">
    <w:pPr>
      <w:pStyle w:val="Piedep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2A57" w14:textId="77777777" w:rsidR="007C698F" w:rsidRDefault="007C698F" w:rsidP="00065CFE">
    <w:pPr>
      <w:pStyle w:val="MDPIfooterfirstpage"/>
      <w:pBdr>
        <w:top w:val="single" w:sz="4" w:space="0" w:color="000000"/>
      </w:pBdr>
      <w:adjustRightInd w:val="0"/>
      <w:snapToGrid w:val="0"/>
      <w:spacing w:before="480" w:line="100" w:lineRule="exact"/>
      <w:rPr>
        <w:i/>
        <w:szCs w:val="16"/>
      </w:rPr>
    </w:pPr>
  </w:p>
  <w:p w14:paraId="2C68130D" w14:textId="77777777" w:rsidR="007C698F" w:rsidRPr="008B308E" w:rsidRDefault="007C698F" w:rsidP="00770821">
    <w:pPr>
      <w:pStyle w:val="MDPIfooterfirstpage"/>
      <w:tabs>
        <w:tab w:val="clear" w:pos="8845"/>
        <w:tab w:val="right" w:pos="10466"/>
      </w:tabs>
      <w:spacing w:line="240" w:lineRule="auto"/>
      <w:jc w:val="both"/>
      <w:rPr>
        <w:lang w:val="fr-CH"/>
      </w:rPr>
    </w:pPr>
    <w:r w:rsidRPr="00BB0268">
      <w:rPr>
        <w:i/>
        <w:szCs w:val="16"/>
      </w:rPr>
      <w:t xml:space="preserve">J. </w:t>
    </w:r>
    <w:r>
      <w:rPr>
        <w:i/>
        <w:szCs w:val="16"/>
      </w:rPr>
      <w:t>Ortho Surg and Trauma</w:t>
    </w:r>
    <w:r w:rsidRPr="00BB0268">
      <w:rPr>
        <w:i/>
        <w:szCs w:val="16"/>
      </w:rPr>
      <w:t>.</w:t>
    </w:r>
    <w:r w:rsidRPr="00BB0268">
      <w:rPr>
        <w:szCs w:val="16"/>
      </w:rPr>
      <w:t xml:space="preserve"> </w:t>
    </w:r>
    <w:r w:rsidRPr="00E9417E">
      <w:rPr>
        <w:b/>
        <w:szCs w:val="16"/>
      </w:rPr>
      <w:t>2021</w:t>
    </w:r>
    <w:r w:rsidRPr="00853B85">
      <w:rPr>
        <w:szCs w:val="16"/>
      </w:rPr>
      <w:t xml:space="preserve">, </w:t>
    </w:r>
    <w:r>
      <w:rPr>
        <w:i/>
        <w:szCs w:val="16"/>
      </w:rPr>
      <w:t>4.</w:t>
    </w:r>
    <w:r w:rsidRPr="008B308E">
      <w:rPr>
        <w:lang w:val="fr-CH"/>
      </w:rPr>
      <w:tab/>
      <w:t>www.</w:t>
    </w:r>
    <w:r>
      <w:rPr>
        <w:lang w:val="fr-CH"/>
      </w:rPr>
      <w:t>jounrlajost.com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AFCB7" w14:textId="77777777" w:rsidR="00BE1804" w:rsidRDefault="00BE1804">
      <w:pPr>
        <w:spacing w:line="240" w:lineRule="auto"/>
      </w:pPr>
      <w:r>
        <w:separator/>
      </w:r>
    </w:p>
  </w:footnote>
  <w:footnote w:type="continuationSeparator" w:id="0">
    <w:p w14:paraId="2D5319E1" w14:textId="77777777" w:rsidR="00BE1804" w:rsidRDefault="00BE18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AD00" w14:textId="77777777" w:rsidR="007C698F" w:rsidRDefault="007C698F" w:rsidP="00357C8D">
    <w:pPr>
      <w:pStyle w:val="Encabezad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C486" w14:textId="77777777" w:rsidR="007C698F" w:rsidRDefault="007C698F" w:rsidP="00770821">
    <w:pPr>
      <w:tabs>
        <w:tab w:val="right" w:pos="10466"/>
      </w:tabs>
      <w:adjustRightInd w:val="0"/>
      <w:snapToGrid w:val="0"/>
      <w:spacing w:line="240" w:lineRule="auto"/>
      <w:rPr>
        <w:sz w:val="16"/>
      </w:rPr>
    </w:pPr>
    <w:r w:rsidRPr="00BB0268">
      <w:rPr>
        <w:i/>
        <w:szCs w:val="16"/>
      </w:rPr>
      <w:t xml:space="preserve">J. </w:t>
    </w:r>
    <w:r>
      <w:rPr>
        <w:i/>
        <w:szCs w:val="16"/>
      </w:rPr>
      <w:t>Ortho Surg and Trauma</w:t>
    </w:r>
    <w:r>
      <w:rPr>
        <w:i/>
        <w:sz w:val="16"/>
      </w:rPr>
      <w:t xml:space="preserve">. </w:t>
    </w:r>
    <w:r w:rsidRPr="00085770">
      <w:rPr>
        <w:b/>
        <w:sz w:val="16"/>
      </w:rPr>
      <w:t>2021</w:t>
    </w:r>
    <w:r w:rsidRPr="00853B85">
      <w:rPr>
        <w:sz w:val="16"/>
      </w:rPr>
      <w:t xml:space="preserve">, </w:t>
    </w:r>
    <w:r w:rsidRPr="00085770">
      <w:rPr>
        <w:i/>
        <w:sz w:val="16"/>
      </w:rPr>
      <w:t>10</w:t>
    </w:r>
    <w:r>
      <w:rPr>
        <w:sz w:val="16"/>
      </w:rPr>
      <w:tab/>
    </w:r>
    <w:r>
      <w:rPr>
        <w:sz w:val="16"/>
      </w:rPr>
      <w:fldChar w:fldCharType="begin"/>
    </w:r>
    <w:r>
      <w:rPr>
        <w:sz w:val="16"/>
      </w:rPr>
      <w:instrText xml:space="preserve"> PAGE   \* MERGEFORMAT </w:instrText>
    </w:r>
    <w:r>
      <w:rPr>
        <w:sz w:val="16"/>
      </w:rPr>
      <w:fldChar w:fldCharType="separate"/>
    </w:r>
    <w:r w:rsidR="00414994">
      <w:rPr>
        <w:sz w:val="16"/>
      </w:rPr>
      <w:t>8</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414994">
      <w:rPr>
        <w:sz w:val="16"/>
      </w:rPr>
      <w:t>8</w:t>
    </w:r>
    <w:r>
      <w:rPr>
        <w:sz w:val="16"/>
      </w:rPr>
      <w:fldChar w:fldCharType="end"/>
    </w:r>
  </w:p>
  <w:p w14:paraId="4741F689" w14:textId="77777777" w:rsidR="007C698F" w:rsidRPr="007A5CE1" w:rsidRDefault="007C698F" w:rsidP="00065CFE">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022" w:type="dxa"/>
      <w:tblCellMar>
        <w:left w:w="0" w:type="dxa"/>
        <w:right w:w="0" w:type="dxa"/>
      </w:tblCellMar>
      <w:tblLook w:val="04A0" w:firstRow="1" w:lastRow="0" w:firstColumn="1" w:lastColumn="0" w:noHBand="0" w:noVBand="1"/>
    </w:tblPr>
    <w:tblGrid>
      <w:gridCol w:w="3679"/>
      <w:gridCol w:w="4535"/>
      <w:gridCol w:w="4535"/>
      <w:gridCol w:w="2273"/>
    </w:tblGrid>
    <w:tr w:rsidR="007C698F" w:rsidRPr="00770821" w14:paraId="49FCC6BE" w14:textId="77777777" w:rsidTr="007545EE">
      <w:trPr>
        <w:trHeight w:val="686"/>
      </w:trPr>
      <w:tc>
        <w:tcPr>
          <w:tcW w:w="3679" w:type="dxa"/>
          <w:shd w:val="clear" w:color="auto" w:fill="auto"/>
          <w:vAlign w:val="center"/>
        </w:tcPr>
        <w:p w14:paraId="41882AAE" w14:textId="77777777" w:rsidR="007C698F" w:rsidRPr="00904B95" w:rsidRDefault="007C698F" w:rsidP="00770821">
          <w:pPr>
            <w:pStyle w:val="Encabezado"/>
            <w:pBdr>
              <w:bottom w:val="none" w:sz="0" w:space="0" w:color="auto"/>
            </w:pBdr>
            <w:jc w:val="left"/>
            <w:rPr>
              <w:rFonts w:eastAsia="DengXian"/>
              <w:b/>
              <w:bCs/>
            </w:rPr>
          </w:pPr>
          <w:r>
            <w:rPr>
              <w:rFonts w:eastAsia="DengXian"/>
              <w:b/>
              <w:bCs/>
            </w:rPr>
            <w:t>Journal of Orthopaedic Surgery and Traumatology</w:t>
          </w:r>
        </w:p>
      </w:tc>
      <w:tc>
        <w:tcPr>
          <w:tcW w:w="4535" w:type="dxa"/>
        </w:tcPr>
        <w:p w14:paraId="1FDA2C0E" w14:textId="77777777" w:rsidR="007C698F" w:rsidRPr="00904B95" w:rsidRDefault="007C698F" w:rsidP="007545EE">
          <w:pPr>
            <w:pStyle w:val="Encabezado"/>
            <w:pBdr>
              <w:bottom w:val="none" w:sz="0" w:space="0" w:color="auto"/>
            </w:pBdr>
            <w:jc w:val="both"/>
            <w:rPr>
              <w:rFonts w:eastAsia="DengXian"/>
              <w:b/>
              <w:bCs/>
            </w:rPr>
          </w:pPr>
        </w:p>
      </w:tc>
      <w:tc>
        <w:tcPr>
          <w:tcW w:w="4535" w:type="dxa"/>
          <w:shd w:val="clear" w:color="auto" w:fill="auto"/>
          <w:vAlign w:val="center"/>
        </w:tcPr>
        <w:p w14:paraId="0FD8DC92" w14:textId="77777777" w:rsidR="007C698F" w:rsidRPr="00904B95" w:rsidRDefault="007C698F" w:rsidP="007545EE">
          <w:pPr>
            <w:pStyle w:val="Encabezado"/>
            <w:pBdr>
              <w:bottom w:val="none" w:sz="0" w:space="0" w:color="auto"/>
            </w:pBdr>
            <w:jc w:val="both"/>
            <w:rPr>
              <w:rFonts w:eastAsia="DengXian"/>
              <w:b/>
              <w:bCs/>
            </w:rPr>
          </w:pPr>
        </w:p>
      </w:tc>
      <w:tc>
        <w:tcPr>
          <w:tcW w:w="2273" w:type="dxa"/>
          <w:shd w:val="clear" w:color="auto" w:fill="auto"/>
          <w:vAlign w:val="center"/>
        </w:tcPr>
        <w:p w14:paraId="0D928B75" w14:textId="77777777" w:rsidR="007C698F" w:rsidRPr="00904B95" w:rsidRDefault="007C698F" w:rsidP="00770821">
          <w:pPr>
            <w:pStyle w:val="Encabezado"/>
            <w:pBdr>
              <w:bottom w:val="none" w:sz="0" w:space="0" w:color="auto"/>
            </w:pBdr>
            <w:jc w:val="right"/>
            <w:rPr>
              <w:rFonts w:eastAsia="DengXian"/>
              <w:b/>
              <w:bCs/>
            </w:rPr>
          </w:pPr>
        </w:p>
      </w:tc>
    </w:tr>
  </w:tbl>
  <w:p w14:paraId="01614C8E" w14:textId="77777777" w:rsidR="007C698F" w:rsidRPr="003A2C19" w:rsidRDefault="007C698F" w:rsidP="00065CFE">
    <w:pPr>
      <w:pBdr>
        <w:bottom w:val="single" w:sz="4" w:space="1" w:color="000000"/>
      </w:pBdr>
      <w:adjustRightInd w:val="0"/>
      <w:snapToGrid w:val="0"/>
      <w:spacing w:line="100" w:lineRule="exact"/>
      <w:jc w:val="left"/>
    </w:pPr>
    <w:r>
      <w:rPr>
        <w:rFonts w:eastAsia="DengXian"/>
        <w:b/>
        <w:bCs/>
        <w:lang w:val="es-ES" w:eastAsia="es-ES"/>
      </w:rPr>
      <w:drawing>
        <wp:anchor distT="0" distB="0" distL="114300" distR="114300" simplePos="0" relativeHeight="251658240" behindDoc="1" locked="0" layoutInCell="1" allowOverlap="1" wp14:anchorId="5CBE1D0C" wp14:editId="046D35AF">
          <wp:simplePos x="0" y="0"/>
          <wp:positionH relativeFrom="column">
            <wp:posOffset>5724525</wp:posOffset>
          </wp:positionH>
          <wp:positionV relativeFrom="paragraph">
            <wp:posOffset>-997585</wp:posOffset>
          </wp:positionV>
          <wp:extent cx="927735" cy="932815"/>
          <wp:effectExtent l="0" t="0" r="0" b="0"/>
          <wp:wrapThrough wrapText="bothSides">
            <wp:wrapPolygon edited="0">
              <wp:start x="7540" y="0"/>
              <wp:lineTo x="4435" y="1323"/>
              <wp:lineTo x="0" y="5735"/>
              <wp:lineTo x="0" y="15439"/>
              <wp:lineTo x="6209" y="20732"/>
              <wp:lineTo x="7540" y="21174"/>
              <wp:lineTo x="13749" y="21174"/>
              <wp:lineTo x="15524" y="20732"/>
              <wp:lineTo x="21290" y="15880"/>
              <wp:lineTo x="21290" y="5293"/>
              <wp:lineTo x="15967" y="441"/>
              <wp:lineTo x="13749" y="0"/>
              <wp:lineTo x="754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735" cy="9328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C0C40"/>
    <w:multiLevelType w:val="hybridMultilevel"/>
    <w:tmpl w:val="BC048122"/>
    <w:lvl w:ilvl="0" w:tplc="74240C06">
      <w:start w:val="3"/>
      <w:numFmt w:val="bullet"/>
      <w:lvlText w:val="-"/>
      <w:lvlJc w:val="left"/>
      <w:pPr>
        <w:ind w:left="3393" w:hanging="360"/>
      </w:pPr>
      <w:rPr>
        <w:rFonts w:ascii="Palatino Linotype" w:eastAsia="Times New Roman" w:hAnsi="Palatino Linotype" w:cs="Times New Roman" w:hint="default"/>
      </w:rPr>
    </w:lvl>
    <w:lvl w:ilvl="1" w:tplc="0C0A0003" w:tentative="1">
      <w:start w:val="1"/>
      <w:numFmt w:val="bullet"/>
      <w:lvlText w:val="o"/>
      <w:lvlJc w:val="left"/>
      <w:pPr>
        <w:ind w:left="4113" w:hanging="360"/>
      </w:pPr>
      <w:rPr>
        <w:rFonts w:ascii="Courier New" w:hAnsi="Courier New" w:cs="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cs="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cs="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0470D0E"/>
    <w:multiLevelType w:val="hybridMultilevel"/>
    <w:tmpl w:val="E4E6F0A4"/>
    <w:lvl w:ilvl="0" w:tplc="3ECA1A00">
      <w:start w:val="1"/>
      <w:numFmt w:val="decimal"/>
      <w:lvlText w:val="%1."/>
      <w:lvlJc w:val="left"/>
      <w:pPr>
        <w:ind w:left="2968" w:hanging="360"/>
      </w:pPr>
      <w:rPr>
        <w:rFonts w:hint="default"/>
      </w:rPr>
    </w:lvl>
    <w:lvl w:ilvl="1" w:tplc="0C0A0019" w:tentative="1">
      <w:start w:val="1"/>
      <w:numFmt w:val="lowerLetter"/>
      <w:lvlText w:val="%2."/>
      <w:lvlJc w:val="left"/>
      <w:pPr>
        <w:ind w:left="3688" w:hanging="360"/>
      </w:pPr>
    </w:lvl>
    <w:lvl w:ilvl="2" w:tplc="0C0A001B" w:tentative="1">
      <w:start w:val="1"/>
      <w:numFmt w:val="lowerRoman"/>
      <w:lvlText w:val="%3."/>
      <w:lvlJc w:val="right"/>
      <w:pPr>
        <w:ind w:left="4408" w:hanging="180"/>
      </w:pPr>
    </w:lvl>
    <w:lvl w:ilvl="3" w:tplc="0C0A000F" w:tentative="1">
      <w:start w:val="1"/>
      <w:numFmt w:val="decimal"/>
      <w:lvlText w:val="%4."/>
      <w:lvlJc w:val="left"/>
      <w:pPr>
        <w:ind w:left="5128" w:hanging="360"/>
      </w:pPr>
    </w:lvl>
    <w:lvl w:ilvl="4" w:tplc="0C0A0019" w:tentative="1">
      <w:start w:val="1"/>
      <w:numFmt w:val="lowerLetter"/>
      <w:lvlText w:val="%5."/>
      <w:lvlJc w:val="left"/>
      <w:pPr>
        <w:ind w:left="5848" w:hanging="360"/>
      </w:pPr>
    </w:lvl>
    <w:lvl w:ilvl="5" w:tplc="0C0A001B" w:tentative="1">
      <w:start w:val="1"/>
      <w:numFmt w:val="lowerRoman"/>
      <w:lvlText w:val="%6."/>
      <w:lvlJc w:val="right"/>
      <w:pPr>
        <w:ind w:left="6568" w:hanging="180"/>
      </w:pPr>
    </w:lvl>
    <w:lvl w:ilvl="6" w:tplc="0C0A000F" w:tentative="1">
      <w:start w:val="1"/>
      <w:numFmt w:val="decimal"/>
      <w:lvlText w:val="%7."/>
      <w:lvlJc w:val="left"/>
      <w:pPr>
        <w:ind w:left="7288" w:hanging="360"/>
      </w:pPr>
    </w:lvl>
    <w:lvl w:ilvl="7" w:tplc="0C0A0019" w:tentative="1">
      <w:start w:val="1"/>
      <w:numFmt w:val="lowerLetter"/>
      <w:lvlText w:val="%8."/>
      <w:lvlJc w:val="left"/>
      <w:pPr>
        <w:ind w:left="8008" w:hanging="360"/>
      </w:pPr>
    </w:lvl>
    <w:lvl w:ilvl="8" w:tplc="0C0A001B" w:tentative="1">
      <w:start w:val="1"/>
      <w:numFmt w:val="lowerRoman"/>
      <w:lvlText w:val="%9."/>
      <w:lvlJc w:val="right"/>
      <w:pPr>
        <w:ind w:left="8728" w:hanging="180"/>
      </w:pPr>
    </w:lvl>
  </w:abstractNum>
  <w:abstractNum w:abstractNumId="8" w15:restartNumberingAfterBreak="0">
    <w:nsid w:val="537A3A6B"/>
    <w:multiLevelType w:val="hybridMultilevel"/>
    <w:tmpl w:val="A7C2289C"/>
    <w:lvl w:ilvl="0" w:tplc="B2306D3A">
      <w:start w:val="1"/>
      <w:numFmt w:val="decimal"/>
      <w:lvlText w:val="%1)"/>
      <w:lvlJc w:val="left"/>
      <w:pPr>
        <w:ind w:left="3393" w:hanging="360"/>
      </w:pPr>
      <w:rPr>
        <w:rFonts w:hint="default"/>
      </w:rPr>
    </w:lvl>
    <w:lvl w:ilvl="1" w:tplc="0C0A0019" w:tentative="1">
      <w:start w:val="1"/>
      <w:numFmt w:val="lowerLetter"/>
      <w:lvlText w:val="%2."/>
      <w:lvlJc w:val="left"/>
      <w:pPr>
        <w:ind w:left="4113" w:hanging="360"/>
      </w:pPr>
    </w:lvl>
    <w:lvl w:ilvl="2" w:tplc="0C0A001B" w:tentative="1">
      <w:start w:val="1"/>
      <w:numFmt w:val="lowerRoman"/>
      <w:lvlText w:val="%3."/>
      <w:lvlJc w:val="right"/>
      <w:pPr>
        <w:ind w:left="4833" w:hanging="180"/>
      </w:pPr>
    </w:lvl>
    <w:lvl w:ilvl="3" w:tplc="0C0A000F" w:tentative="1">
      <w:start w:val="1"/>
      <w:numFmt w:val="decimal"/>
      <w:lvlText w:val="%4."/>
      <w:lvlJc w:val="left"/>
      <w:pPr>
        <w:ind w:left="5553" w:hanging="360"/>
      </w:pPr>
    </w:lvl>
    <w:lvl w:ilvl="4" w:tplc="0C0A0019" w:tentative="1">
      <w:start w:val="1"/>
      <w:numFmt w:val="lowerLetter"/>
      <w:lvlText w:val="%5."/>
      <w:lvlJc w:val="left"/>
      <w:pPr>
        <w:ind w:left="6273" w:hanging="360"/>
      </w:pPr>
    </w:lvl>
    <w:lvl w:ilvl="5" w:tplc="0C0A001B" w:tentative="1">
      <w:start w:val="1"/>
      <w:numFmt w:val="lowerRoman"/>
      <w:lvlText w:val="%6."/>
      <w:lvlJc w:val="right"/>
      <w:pPr>
        <w:ind w:left="6993" w:hanging="180"/>
      </w:pPr>
    </w:lvl>
    <w:lvl w:ilvl="6" w:tplc="0C0A000F" w:tentative="1">
      <w:start w:val="1"/>
      <w:numFmt w:val="decimal"/>
      <w:lvlText w:val="%7."/>
      <w:lvlJc w:val="left"/>
      <w:pPr>
        <w:ind w:left="7713" w:hanging="360"/>
      </w:pPr>
    </w:lvl>
    <w:lvl w:ilvl="7" w:tplc="0C0A0019" w:tentative="1">
      <w:start w:val="1"/>
      <w:numFmt w:val="lowerLetter"/>
      <w:lvlText w:val="%8."/>
      <w:lvlJc w:val="left"/>
      <w:pPr>
        <w:ind w:left="8433" w:hanging="360"/>
      </w:pPr>
    </w:lvl>
    <w:lvl w:ilvl="8" w:tplc="0C0A001B" w:tentative="1">
      <w:start w:val="1"/>
      <w:numFmt w:val="lowerRoman"/>
      <w:lvlText w:val="%9."/>
      <w:lvlJc w:val="right"/>
      <w:pPr>
        <w:ind w:left="9153" w:hanging="180"/>
      </w:pPr>
    </w:lvl>
  </w:abstractNum>
  <w:abstractNum w:abstractNumId="9"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7FEB3CC8"/>
    <w:multiLevelType w:val="hybridMultilevel"/>
    <w:tmpl w:val="57421B76"/>
    <w:lvl w:ilvl="0" w:tplc="C568C9A4">
      <w:start w:val="3"/>
      <w:numFmt w:val="decimal"/>
      <w:lvlText w:val="%1."/>
      <w:lvlJc w:val="left"/>
      <w:pPr>
        <w:ind w:left="2968" w:hanging="360"/>
      </w:pPr>
      <w:rPr>
        <w:rFonts w:hint="default"/>
      </w:rPr>
    </w:lvl>
    <w:lvl w:ilvl="1" w:tplc="0C0A0019" w:tentative="1">
      <w:start w:val="1"/>
      <w:numFmt w:val="lowerLetter"/>
      <w:lvlText w:val="%2."/>
      <w:lvlJc w:val="left"/>
      <w:pPr>
        <w:ind w:left="3688" w:hanging="360"/>
      </w:pPr>
    </w:lvl>
    <w:lvl w:ilvl="2" w:tplc="0C0A001B" w:tentative="1">
      <w:start w:val="1"/>
      <w:numFmt w:val="lowerRoman"/>
      <w:lvlText w:val="%3."/>
      <w:lvlJc w:val="right"/>
      <w:pPr>
        <w:ind w:left="4408" w:hanging="180"/>
      </w:pPr>
    </w:lvl>
    <w:lvl w:ilvl="3" w:tplc="0C0A000F" w:tentative="1">
      <w:start w:val="1"/>
      <w:numFmt w:val="decimal"/>
      <w:lvlText w:val="%4."/>
      <w:lvlJc w:val="left"/>
      <w:pPr>
        <w:ind w:left="5128" w:hanging="360"/>
      </w:pPr>
    </w:lvl>
    <w:lvl w:ilvl="4" w:tplc="0C0A0019" w:tentative="1">
      <w:start w:val="1"/>
      <w:numFmt w:val="lowerLetter"/>
      <w:lvlText w:val="%5."/>
      <w:lvlJc w:val="left"/>
      <w:pPr>
        <w:ind w:left="5848" w:hanging="360"/>
      </w:pPr>
    </w:lvl>
    <w:lvl w:ilvl="5" w:tplc="0C0A001B" w:tentative="1">
      <w:start w:val="1"/>
      <w:numFmt w:val="lowerRoman"/>
      <w:lvlText w:val="%6."/>
      <w:lvlJc w:val="right"/>
      <w:pPr>
        <w:ind w:left="6568" w:hanging="180"/>
      </w:pPr>
    </w:lvl>
    <w:lvl w:ilvl="6" w:tplc="0C0A000F" w:tentative="1">
      <w:start w:val="1"/>
      <w:numFmt w:val="decimal"/>
      <w:lvlText w:val="%7."/>
      <w:lvlJc w:val="left"/>
      <w:pPr>
        <w:ind w:left="7288" w:hanging="360"/>
      </w:pPr>
    </w:lvl>
    <w:lvl w:ilvl="7" w:tplc="0C0A0019" w:tentative="1">
      <w:start w:val="1"/>
      <w:numFmt w:val="lowerLetter"/>
      <w:lvlText w:val="%8."/>
      <w:lvlJc w:val="left"/>
      <w:pPr>
        <w:ind w:left="8008" w:hanging="360"/>
      </w:pPr>
    </w:lvl>
    <w:lvl w:ilvl="8" w:tplc="0C0A001B" w:tentative="1">
      <w:start w:val="1"/>
      <w:numFmt w:val="lowerRoman"/>
      <w:lvlText w:val="%9."/>
      <w:lvlJc w:val="right"/>
      <w:pPr>
        <w:ind w:left="8728" w:hanging="180"/>
      </w:pPr>
    </w:lvl>
  </w:abstractNum>
  <w:num w:numId="1" w16cid:durableId="444037107">
    <w:abstractNumId w:val="3"/>
  </w:num>
  <w:num w:numId="2" w16cid:durableId="984354974">
    <w:abstractNumId w:val="6"/>
  </w:num>
  <w:num w:numId="3" w16cid:durableId="1268660913">
    <w:abstractNumId w:val="2"/>
  </w:num>
  <w:num w:numId="4" w16cid:durableId="233666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360568">
    <w:abstractNumId w:val="4"/>
  </w:num>
  <w:num w:numId="6" w16cid:durableId="1341737347">
    <w:abstractNumId w:val="9"/>
  </w:num>
  <w:num w:numId="7" w16cid:durableId="1853108501">
    <w:abstractNumId w:val="1"/>
  </w:num>
  <w:num w:numId="8" w16cid:durableId="1667516314">
    <w:abstractNumId w:val="9"/>
  </w:num>
  <w:num w:numId="9" w16cid:durableId="1997881522">
    <w:abstractNumId w:val="1"/>
  </w:num>
  <w:num w:numId="10" w16cid:durableId="1366712785">
    <w:abstractNumId w:val="9"/>
  </w:num>
  <w:num w:numId="11" w16cid:durableId="1455833839">
    <w:abstractNumId w:val="1"/>
  </w:num>
  <w:num w:numId="12" w16cid:durableId="8794790">
    <w:abstractNumId w:val="10"/>
  </w:num>
  <w:num w:numId="13" w16cid:durableId="2075663140">
    <w:abstractNumId w:val="9"/>
  </w:num>
  <w:num w:numId="14" w16cid:durableId="986515314">
    <w:abstractNumId w:val="1"/>
  </w:num>
  <w:num w:numId="15" w16cid:durableId="428933883">
    <w:abstractNumId w:val="0"/>
  </w:num>
  <w:num w:numId="16" w16cid:durableId="991253599">
    <w:abstractNumId w:val="8"/>
  </w:num>
  <w:num w:numId="17" w16cid:durableId="1261182633">
    <w:abstractNumId w:val="7"/>
  </w:num>
  <w:num w:numId="18" w16cid:durableId="2115125392">
    <w:abstractNumId w:val="5"/>
  </w:num>
  <w:num w:numId="19" w16cid:durableId="2041474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045"/>
    <w:rsid w:val="000019D8"/>
    <w:rsid w:val="00006F9A"/>
    <w:rsid w:val="00016CD8"/>
    <w:rsid w:val="000302D9"/>
    <w:rsid w:val="00041D95"/>
    <w:rsid w:val="000478C0"/>
    <w:rsid w:val="00065CFE"/>
    <w:rsid w:val="00085770"/>
    <w:rsid w:val="000A7316"/>
    <w:rsid w:val="000B7CBD"/>
    <w:rsid w:val="000C0FC2"/>
    <w:rsid w:val="000C6424"/>
    <w:rsid w:val="000E2866"/>
    <w:rsid w:val="000E4132"/>
    <w:rsid w:val="00130D75"/>
    <w:rsid w:val="00152F6D"/>
    <w:rsid w:val="00160205"/>
    <w:rsid w:val="001710B7"/>
    <w:rsid w:val="00172385"/>
    <w:rsid w:val="0017489D"/>
    <w:rsid w:val="00182666"/>
    <w:rsid w:val="0019063D"/>
    <w:rsid w:val="001A069A"/>
    <w:rsid w:val="001C4EF2"/>
    <w:rsid w:val="001D053C"/>
    <w:rsid w:val="001D1C27"/>
    <w:rsid w:val="001D25D3"/>
    <w:rsid w:val="001D6E65"/>
    <w:rsid w:val="001E2AEB"/>
    <w:rsid w:val="001E6B6B"/>
    <w:rsid w:val="001F462D"/>
    <w:rsid w:val="00205024"/>
    <w:rsid w:val="00274D95"/>
    <w:rsid w:val="00280F25"/>
    <w:rsid w:val="00280FC4"/>
    <w:rsid w:val="00287BE6"/>
    <w:rsid w:val="0029303F"/>
    <w:rsid w:val="00297088"/>
    <w:rsid w:val="002C5B08"/>
    <w:rsid w:val="002C74FC"/>
    <w:rsid w:val="002E235C"/>
    <w:rsid w:val="00314B6E"/>
    <w:rsid w:val="003207B3"/>
    <w:rsid w:val="00325CF8"/>
    <w:rsid w:val="00326141"/>
    <w:rsid w:val="0034278A"/>
    <w:rsid w:val="0034365E"/>
    <w:rsid w:val="00353158"/>
    <w:rsid w:val="00357C8D"/>
    <w:rsid w:val="00362F34"/>
    <w:rsid w:val="00375066"/>
    <w:rsid w:val="00387B88"/>
    <w:rsid w:val="00396D06"/>
    <w:rsid w:val="003977A3"/>
    <w:rsid w:val="003A2C19"/>
    <w:rsid w:val="003A6DE3"/>
    <w:rsid w:val="003B4823"/>
    <w:rsid w:val="003C5238"/>
    <w:rsid w:val="003D37C7"/>
    <w:rsid w:val="003D4857"/>
    <w:rsid w:val="003D55AB"/>
    <w:rsid w:val="003E1331"/>
    <w:rsid w:val="003F2DA1"/>
    <w:rsid w:val="004001F2"/>
    <w:rsid w:val="004013CF"/>
    <w:rsid w:val="00401D30"/>
    <w:rsid w:val="00412261"/>
    <w:rsid w:val="004142C7"/>
    <w:rsid w:val="00414994"/>
    <w:rsid w:val="004225B0"/>
    <w:rsid w:val="00423E1F"/>
    <w:rsid w:val="00435C37"/>
    <w:rsid w:val="00456034"/>
    <w:rsid w:val="0046295C"/>
    <w:rsid w:val="004958D6"/>
    <w:rsid w:val="004B1358"/>
    <w:rsid w:val="004B2612"/>
    <w:rsid w:val="004B7429"/>
    <w:rsid w:val="004D54CC"/>
    <w:rsid w:val="004D5F4D"/>
    <w:rsid w:val="004F5B4C"/>
    <w:rsid w:val="005016A6"/>
    <w:rsid w:val="00506ADB"/>
    <w:rsid w:val="005123DF"/>
    <w:rsid w:val="00547A54"/>
    <w:rsid w:val="005577F2"/>
    <w:rsid w:val="005830F2"/>
    <w:rsid w:val="005874EB"/>
    <w:rsid w:val="005963C5"/>
    <w:rsid w:val="00616F82"/>
    <w:rsid w:val="00622838"/>
    <w:rsid w:val="006300CB"/>
    <w:rsid w:val="00637CD2"/>
    <w:rsid w:val="00641936"/>
    <w:rsid w:val="00655307"/>
    <w:rsid w:val="00662DAE"/>
    <w:rsid w:val="006673F2"/>
    <w:rsid w:val="00667913"/>
    <w:rsid w:val="00685F96"/>
    <w:rsid w:val="00691DEB"/>
    <w:rsid w:val="00692393"/>
    <w:rsid w:val="00694025"/>
    <w:rsid w:val="006A11B0"/>
    <w:rsid w:val="006A5D76"/>
    <w:rsid w:val="006C3990"/>
    <w:rsid w:val="006C3A32"/>
    <w:rsid w:val="006E1776"/>
    <w:rsid w:val="007018DC"/>
    <w:rsid w:val="00705D61"/>
    <w:rsid w:val="00706D77"/>
    <w:rsid w:val="00710A92"/>
    <w:rsid w:val="00751DE2"/>
    <w:rsid w:val="00751EDE"/>
    <w:rsid w:val="007545EE"/>
    <w:rsid w:val="00770821"/>
    <w:rsid w:val="0079312A"/>
    <w:rsid w:val="007C698F"/>
    <w:rsid w:val="007E1E45"/>
    <w:rsid w:val="008052E8"/>
    <w:rsid w:val="00816BBE"/>
    <w:rsid w:val="00821EF1"/>
    <w:rsid w:val="00851192"/>
    <w:rsid w:val="00853B85"/>
    <w:rsid w:val="00865A31"/>
    <w:rsid w:val="0086647D"/>
    <w:rsid w:val="00886A3A"/>
    <w:rsid w:val="00894D6B"/>
    <w:rsid w:val="008971D0"/>
    <w:rsid w:val="008D0B41"/>
    <w:rsid w:val="008E37CF"/>
    <w:rsid w:val="008E63F1"/>
    <w:rsid w:val="008F1228"/>
    <w:rsid w:val="008F6E8C"/>
    <w:rsid w:val="009035B8"/>
    <w:rsid w:val="00904B95"/>
    <w:rsid w:val="00914275"/>
    <w:rsid w:val="00915CAE"/>
    <w:rsid w:val="009353E3"/>
    <w:rsid w:val="00943EE6"/>
    <w:rsid w:val="00945A8C"/>
    <w:rsid w:val="00950BFD"/>
    <w:rsid w:val="00960D32"/>
    <w:rsid w:val="00970559"/>
    <w:rsid w:val="00970888"/>
    <w:rsid w:val="009709FF"/>
    <w:rsid w:val="00994BBA"/>
    <w:rsid w:val="00995F53"/>
    <w:rsid w:val="00996419"/>
    <w:rsid w:val="0099679C"/>
    <w:rsid w:val="009C5893"/>
    <w:rsid w:val="009D2DDE"/>
    <w:rsid w:val="009F70E6"/>
    <w:rsid w:val="00A07671"/>
    <w:rsid w:val="00A73B50"/>
    <w:rsid w:val="00A92841"/>
    <w:rsid w:val="00AB2F7D"/>
    <w:rsid w:val="00AC3FDF"/>
    <w:rsid w:val="00AD3640"/>
    <w:rsid w:val="00AD4E9B"/>
    <w:rsid w:val="00AF63F6"/>
    <w:rsid w:val="00AF66CF"/>
    <w:rsid w:val="00B05DD7"/>
    <w:rsid w:val="00B24D42"/>
    <w:rsid w:val="00B27BDC"/>
    <w:rsid w:val="00B72FA1"/>
    <w:rsid w:val="00B84BC1"/>
    <w:rsid w:val="00BA6C33"/>
    <w:rsid w:val="00BB1CA6"/>
    <w:rsid w:val="00BB64E9"/>
    <w:rsid w:val="00BB7AA1"/>
    <w:rsid w:val="00BC2D10"/>
    <w:rsid w:val="00BD5379"/>
    <w:rsid w:val="00BE1804"/>
    <w:rsid w:val="00BE4E1F"/>
    <w:rsid w:val="00BE50A3"/>
    <w:rsid w:val="00BF5D96"/>
    <w:rsid w:val="00C06920"/>
    <w:rsid w:val="00C1170B"/>
    <w:rsid w:val="00C1439D"/>
    <w:rsid w:val="00C144B6"/>
    <w:rsid w:val="00C16676"/>
    <w:rsid w:val="00C17D2C"/>
    <w:rsid w:val="00C23045"/>
    <w:rsid w:val="00C6369B"/>
    <w:rsid w:val="00C76749"/>
    <w:rsid w:val="00CA43C3"/>
    <w:rsid w:val="00CA6FBF"/>
    <w:rsid w:val="00CB5986"/>
    <w:rsid w:val="00CC4494"/>
    <w:rsid w:val="00CD65BC"/>
    <w:rsid w:val="00D03F63"/>
    <w:rsid w:val="00D0452F"/>
    <w:rsid w:val="00D06DB4"/>
    <w:rsid w:val="00D15FBD"/>
    <w:rsid w:val="00D537C4"/>
    <w:rsid w:val="00D72E82"/>
    <w:rsid w:val="00D76EFE"/>
    <w:rsid w:val="00D97879"/>
    <w:rsid w:val="00DB5D84"/>
    <w:rsid w:val="00DB65CB"/>
    <w:rsid w:val="00DC5308"/>
    <w:rsid w:val="00DE34CD"/>
    <w:rsid w:val="00DF25E7"/>
    <w:rsid w:val="00DF2EEA"/>
    <w:rsid w:val="00E07FC4"/>
    <w:rsid w:val="00E454CC"/>
    <w:rsid w:val="00E548E8"/>
    <w:rsid w:val="00E6144D"/>
    <w:rsid w:val="00E62446"/>
    <w:rsid w:val="00E9417E"/>
    <w:rsid w:val="00EA792D"/>
    <w:rsid w:val="00EB730D"/>
    <w:rsid w:val="00EC2CB7"/>
    <w:rsid w:val="00EC34B2"/>
    <w:rsid w:val="00EE1A37"/>
    <w:rsid w:val="00EE3D95"/>
    <w:rsid w:val="00EF68A4"/>
    <w:rsid w:val="00F12197"/>
    <w:rsid w:val="00F159D6"/>
    <w:rsid w:val="00F20DC0"/>
    <w:rsid w:val="00F41D77"/>
    <w:rsid w:val="00F61547"/>
    <w:rsid w:val="00F733DC"/>
    <w:rsid w:val="00FA2DB6"/>
    <w:rsid w:val="00FA4695"/>
    <w:rsid w:val="00FC70BF"/>
    <w:rsid w:val="00FD4789"/>
    <w:rsid w:val="00FE6943"/>
    <w:rsid w:val="00FF15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B9976E"/>
  <w15:chartTrackingRefBased/>
  <w15:docId w15:val="{AE16437C-B747-497A-B344-C5BCAE0F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943"/>
    <w:pPr>
      <w:spacing w:line="260" w:lineRule="atLeast"/>
      <w:jc w:val="both"/>
    </w:pPr>
    <w:rPr>
      <w:rFonts w:ascii="Palatino Linotype" w:hAnsi="Palatino Linotype"/>
      <w:noProof/>
      <w:color w:val="000000"/>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FE6943"/>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rsid w:val="00FE6943"/>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rsid w:val="00FE6943"/>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rsid w:val="00FE694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E6943"/>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rsid w:val="00FE6943"/>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rsid w:val="00FE6943"/>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rsid w:val="00FE694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paragraph" w:styleId="Piedepgina">
    <w:name w:val="footer"/>
    <w:basedOn w:val="Normal"/>
    <w:link w:val="PiedepginaCar"/>
    <w:uiPriority w:val="99"/>
    <w:rsid w:val="00FE6943"/>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FE6943"/>
    <w:rPr>
      <w:rFonts w:ascii="Palatino Linotype" w:hAnsi="Palatino Linotype"/>
      <w:noProof/>
      <w:color w:val="000000"/>
      <w:szCs w:val="18"/>
    </w:rPr>
  </w:style>
  <w:style w:type="paragraph" w:styleId="Encabezado">
    <w:name w:val="header"/>
    <w:basedOn w:val="Normal"/>
    <w:link w:val="EncabezadoCar"/>
    <w:uiPriority w:val="99"/>
    <w:rsid w:val="00FE6943"/>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FE6943"/>
    <w:rPr>
      <w:rFonts w:ascii="Palatino Linotype" w:hAnsi="Palatino Linotype"/>
      <w:noProof/>
      <w:color w:val="000000"/>
      <w:szCs w:val="18"/>
    </w:rPr>
  </w:style>
  <w:style w:type="paragraph" w:customStyle="1" w:styleId="MDPIheaderjournallogo">
    <w:name w:val="MDPI_header_journal_logo"/>
    <w:qFormat/>
    <w:rsid w:val="00FE6943"/>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FE6943"/>
    <w:pPr>
      <w:ind w:firstLine="0"/>
    </w:pPr>
  </w:style>
  <w:style w:type="paragraph" w:customStyle="1" w:styleId="MDPI31text">
    <w:name w:val="MDPI_3.1_text"/>
    <w:qFormat/>
    <w:rsid w:val="00AC3FDF"/>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rsid w:val="00FE6943"/>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4textspacebefore">
    <w:name w:val="MDPI_3.4_text_space_before"/>
    <w:qFormat/>
    <w:rsid w:val="00FE6943"/>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rsid w:val="00FE6943"/>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rsid w:val="00FE6943"/>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rsid w:val="00FE6943"/>
    <w:pPr>
      <w:numPr>
        <w:numId w:val="13"/>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rsid w:val="00FE6943"/>
    <w:pPr>
      <w:numPr>
        <w:numId w:val="14"/>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rsid w:val="00FE6943"/>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rsid w:val="00FE6943"/>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rsid w:val="00FE6943"/>
    <w:pPr>
      <w:adjustRightInd w:val="0"/>
      <w:snapToGrid w:val="0"/>
      <w:spacing w:before="240" w:after="120"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rsid w:val="00FE6943"/>
    <w:pPr>
      <w:adjustRightInd w:val="0"/>
      <w:snapToGrid w:val="0"/>
      <w:spacing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rsid w:val="00FE6943"/>
    <w:pPr>
      <w:adjustRightInd w:val="0"/>
      <w:snapToGrid w:val="0"/>
      <w:spacing w:before="120" w:after="240" w:line="228" w:lineRule="auto"/>
      <w:ind w:left="2608"/>
    </w:pPr>
    <w:rPr>
      <w:rFonts w:ascii="Palatino Linotype" w:eastAsia="Times New Roman" w:hAnsi="Palatino Linotype"/>
      <w:color w:val="000000"/>
      <w:sz w:val="18"/>
      <w:lang w:val="en-US" w:eastAsia="de-DE" w:bidi="en-US"/>
    </w:rPr>
  </w:style>
  <w:style w:type="paragraph" w:customStyle="1" w:styleId="MDPI52figure">
    <w:name w:val="MDPI_5.2_figure"/>
    <w:qFormat/>
    <w:rsid w:val="00FE6943"/>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81theorem">
    <w:name w:val="MDPI_8.1_theorem"/>
    <w:qFormat/>
    <w:rsid w:val="00FE6943"/>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rsid w:val="00FE6943"/>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footerfirstpage">
    <w:name w:val="MDPI_footer_firstpage"/>
    <w:qFormat/>
    <w:rsid w:val="00FE6943"/>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23heading3">
    <w:name w:val="MDPI_2.3_heading3"/>
    <w:qFormat/>
    <w:rsid w:val="00FE6943"/>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rsid w:val="00FE694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rsid w:val="00FE694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en-US" w:eastAsia="de-DE" w:bidi="en-US"/>
    </w:rPr>
  </w:style>
  <w:style w:type="paragraph" w:customStyle="1" w:styleId="MDPI71References">
    <w:name w:val="MDPI_7.1_References"/>
    <w:qFormat/>
    <w:rsid w:val="00EE3D95"/>
    <w:pPr>
      <w:numPr>
        <w:numId w:val="15"/>
      </w:numPr>
      <w:adjustRightInd w:val="0"/>
      <w:snapToGrid w:val="0"/>
      <w:spacing w:line="228" w:lineRule="auto"/>
      <w:jc w:val="both"/>
    </w:pPr>
    <w:rPr>
      <w:rFonts w:ascii="Palatino Linotype" w:eastAsia="Times New Roman" w:hAnsi="Palatino Linotype"/>
      <w:color w:val="000000"/>
      <w:sz w:val="18"/>
      <w:lang w:val="en-US" w:eastAsia="de-DE" w:bidi="en-US"/>
    </w:rPr>
  </w:style>
  <w:style w:type="paragraph" w:styleId="Textodeglobo">
    <w:name w:val="Balloon Text"/>
    <w:basedOn w:val="Normal"/>
    <w:link w:val="TextodegloboCar"/>
    <w:uiPriority w:val="99"/>
    <w:rsid w:val="00FE6943"/>
    <w:rPr>
      <w:rFonts w:cs="Tahoma"/>
      <w:szCs w:val="18"/>
    </w:rPr>
  </w:style>
  <w:style w:type="character" w:customStyle="1" w:styleId="TextodegloboCar">
    <w:name w:val="Texto de globo Car"/>
    <w:link w:val="Textodeglobo"/>
    <w:uiPriority w:val="99"/>
    <w:rsid w:val="00FE6943"/>
    <w:rPr>
      <w:rFonts w:ascii="Palatino Linotype" w:hAnsi="Palatino Linotype" w:cs="Tahoma"/>
      <w:noProof/>
      <w:color w:val="000000"/>
      <w:szCs w:val="18"/>
    </w:rPr>
  </w:style>
  <w:style w:type="character" w:styleId="Nmerodelnea">
    <w:name w:val="line number"/>
    <w:uiPriority w:val="99"/>
    <w:rsid w:val="00F20DC0"/>
    <w:rPr>
      <w:rFonts w:ascii="Palatino Linotype" w:hAnsi="Palatino Linotype"/>
      <w:sz w:val="16"/>
    </w:rPr>
  </w:style>
  <w:style w:type="table" w:customStyle="1" w:styleId="MDPI41threelinetable">
    <w:name w:val="MDPI_4.1_three_line_table"/>
    <w:basedOn w:val="Tablanormal"/>
    <w:uiPriority w:val="99"/>
    <w:rsid w:val="00FE6943"/>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FE6943"/>
    <w:rPr>
      <w:color w:val="0000FF"/>
      <w:u w:val="single"/>
    </w:rPr>
  </w:style>
  <w:style w:type="character" w:customStyle="1" w:styleId="Mencinsinresolver1">
    <w:name w:val="Mención sin resolver1"/>
    <w:uiPriority w:val="99"/>
    <w:semiHidden/>
    <w:unhideWhenUsed/>
    <w:rsid w:val="0034278A"/>
    <w:rPr>
      <w:color w:val="605E5C"/>
      <w:shd w:val="clear" w:color="auto" w:fill="E1DFDD"/>
    </w:rPr>
  </w:style>
  <w:style w:type="table" w:styleId="Tablaconcuadrcula">
    <w:name w:val="Table Grid"/>
    <w:basedOn w:val="Tablanormal"/>
    <w:uiPriority w:val="59"/>
    <w:rsid w:val="00FE6943"/>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FE6943"/>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MDPI62BackMatter">
    <w:name w:val="MDPI_6.2_BackMatter"/>
    <w:qFormat/>
    <w:rsid w:val="00FE6943"/>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rsid w:val="00FE6943"/>
    <w:pPr>
      <w:adjustRightInd w:val="0"/>
      <w:snapToGrid w:val="0"/>
      <w:spacing w:after="120" w:line="240" w:lineRule="atLeast"/>
      <w:ind w:right="113"/>
    </w:pPr>
    <w:rPr>
      <w:rFonts w:ascii="Palatino Linotype" w:hAnsi="Palatino Linotype"/>
      <w:snapToGrid w:val="0"/>
      <w:color w:val="000000"/>
      <w:sz w:val="14"/>
      <w:lang w:val="en-US" w:eastAsia="en-US" w:bidi="en-US"/>
    </w:rPr>
  </w:style>
  <w:style w:type="paragraph" w:customStyle="1" w:styleId="MDPI15academiceditor">
    <w:name w:val="MDPI_1.5_academic_editor"/>
    <w:qFormat/>
    <w:rsid w:val="00FE6943"/>
    <w:pPr>
      <w:adjustRightInd w:val="0"/>
      <w:snapToGrid w:val="0"/>
      <w:spacing w:before="24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rsid w:val="00FE6943"/>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rsid w:val="00FE6943"/>
    <w:pPr>
      <w:adjustRightInd w:val="0"/>
      <w:snapToGrid w:val="0"/>
      <w:spacing w:before="240" w:after="120" w:line="260" w:lineRule="atLeast"/>
      <w:jc w:val="center"/>
    </w:pPr>
    <w:rPr>
      <w:rFonts w:ascii="Palatino Linotype" w:hAnsi="Palatino Linotype" w:cs="Cordia New"/>
      <w:noProof/>
      <w:color w:val="000000"/>
      <w:sz w:val="18"/>
      <w:szCs w:val="22"/>
      <w:lang w:val="en-US" w:eastAsia="zh-CN" w:bidi="en-US"/>
    </w:rPr>
  </w:style>
  <w:style w:type="paragraph" w:customStyle="1" w:styleId="MDPI511onefigurecaption">
    <w:name w:val="MDPI_5.1.1_one_figure_caption"/>
    <w:qFormat/>
    <w:rsid w:val="00FE6943"/>
    <w:pPr>
      <w:adjustRightInd w:val="0"/>
      <w:snapToGrid w:val="0"/>
      <w:spacing w:before="240" w:after="120" w:line="260" w:lineRule="atLeast"/>
      <w:jc w:val="center"/>
    </w:pPr>
    <w:rPr>
      <w:rFonts w:ascii="Palatino Linotype" w:hAnsi="Palatino Linotype"/>
      <w:noProof/>
      <w:color w:val="000000"/>
      <w:sz w:val="18"/>
      <w:lang w:val="en-US" w:eastAsia="zh-CN" w:bidi="en-US"/>
    </w:rPr>
  </w:style>
  <w:style w:type="paragraph" w:customStyle="1" w:styleId="MDPI72Copyright">
    <w:name w:val="MDPI_7.2_Copyright"/>
    <w:qFormat/>
    <w:rsid w:val="00FE6943"/>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FE6943"/>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rsid w:val="00FE6943"/>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rsid w:val="00FE6943"/>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header">
    <w:name w:val="MDPI_header"/>
    <w:qFormat/>
    <w:rsid w:val="00FE6943"/>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FE6943"/>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rsid w:val="00FE6943"/>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lanormal"/>
    <w:uiPriority w:val="99"/>
    <w:rsid w:val="00FE6943"/>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FE6943"/>
    <w:pPr>
      <w:spacing w:line="260" w:lineRule="atLeast"/>
      <w:ind w:left="425" w:right="425" w:firstLine="284"/>
      <w:jc w:val="both"/>
    </w:pPr>
    <w:rPr>
      <w:rFonts w:ascii="Times New Roman" w:eastAsia="Times New Roman" w:hAnsi="Times New Roman"/>
      <w:noProof/>
      <w:snapToGrid w:val="0"/>
      <w:color w:val="000000"/>
      <w:sz w:val="22"/>
      <w:szCs w:val="22"/>
      <w:lang w:val="en-US" w:eastAsia="de-DE" w:bidi="en-US"/>
    </w:rPr>
  </w:style>
  <w:style w:type="paragraph" w:customStyle="1" w:styleId="MDPItitle">
    <w:name w:val="MDPI_title"/>
    <w:qFormat/>
    <w:rsid w:val="00FE6943"/>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rsid w:val="00FE6943"/>
  </w:style>
  <w:style w:type="paragraph" w:styleId="Bibliografa">
    <w:name w:val="Bibliography"/>
    <w:basedOn w:val="Normal"/>
    <w:next w:val="Normal"/>
    <w:uiPriority w:val="37"/>
    <w:semiHidden/>
    <w:unhideWhenUsed/>
    <w:rsid w:val="00FE6943"/>
  </w:style>
  <w:style w:type="paragraph" w:styleId="Textoindependiente">
    <w:name w:val="Body Text"/>
    <w:link w:val="TextoindependienteCar"/>
    <w:rsid w:val="00FE6943"/>
    <w:pPr>
      <w:spacing w:after="120" w:line="340" w:lineRule="atLeast"/>
      <w:jc w:val="both"/>
    </w:pPr>
    <w:rPr>
      <w:rFonts w:ascii="Palatino Linotype" w:hAnsi="Palatino Linotype"/>
      <w:color w:val="000000"/>
      <w:sz w:val="24"/>
      <w:lang w:val="en-US" w:eastAsia="de-DE"/>
    </w:rPr>
  </w:style>
  <w:style w:type="character" w:customStyle="1" w:styleId="TextoindependienteCar">
    <w:name w:val="Texto independiente Car"/>
    <w:link w:val="Textoindependiente"/>
    <w:rsid w:val="00FE6943"/>
    <w:rPr>
      <w:rFonts w:ascii="Palatino Linotype" w:hAnsi="Palatino Linotype"/>
      <w:color w:val="000000"/>
      <w:sz w:val="24"/>
      <w:lang w:eastAsia="de-DE"/>
    </w:rPr>
  </w:style>
  <w:style w:type="character" w:styleId="Refdecomentario">
    <w:name w:val="annotation reference"/>
    <w:rsid w:val="00FE6943"/>
    <w:rPr>
      <w:sz w:val="21"/>
      <w:szCs w:val="21"/>
    </w:rPr>
  </w:style>
  <w:style w:type="paragraph" w:styleId="Textocomentario">
    <w:name w:val="annotation text"/>
    <w:basedOn w:val="Normal"/>
    <w:link w:val="TextocomentarioCar"/>
    <w:rsid w:val="00FE6943"/>
  </w:style>
  <w:style w:type="character" w:customStyle="1" w:styleId="TextocomentarioCar">
    <w:name w:val="Texto comentario Car"/>
    <w:link w:val="Textocomentario"/>
    <w:rsid w:val="00FE6943"/>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FE6943"/>
    <w:rPr>
      <w:b/>
      <w:bCs/>
    </w:rPr>
  </w:style>
  <w:style w:type="character" w:customStyle="1" w:styleId="AsuntodelcomentarioCar">
    <w:name w:val="Asunto del comentario Car"/>
    <w:link w:val="Asuntodelcomentario"/>
    <w:rsid w:val="00FE6943"/>
    <w:rPr>
      <w:rFonts w:ascii="Palatino Linotype" w:hAnsi="Palatino Linotype"/>
      <w:b/>
      <w:bCs/>
      <w:noProof/>
      <w:color w:val="000000"/>
    </w:rPr>
  </w:style>
  <w:style w:type="character" w:styleId="Refdenotaalfinal">
    <w:name w:val="endnote reference"/>
    <w:rsid w:val="00FE6943"/>
    <w:rPr>
      <w:vertAlign w:val="superscript"/>
    </w:rPr>
  </w:style>
  <w:style w:type="paragraph" w:styleId="Textonotaalfinal">
    <w:name w:val="endnote text"/>
    <w:basedOn w:val="Normal"/>
    <w:link w:val="TextonotaalfinalCar"/>
    <w:semiHidden/>
    <w:unhideWhenUsed/>
    <w:rsid w:val="00FE6943"/>
    <w:pPr>
      <w:spacing w:line="240" w:lineRule="auto"/>
    </w:pPr>
  </w:style>
  <w:style w:type="character" w:customStyle="1" w:styleId="TextonotaalfinalCar">
    <w:name w:val="Texto nota al final Car"/>
    <w:link w:val="Textonotaalfinal"/>
    <w:semiHidden/>
    <w:rsid w:val="00FE6943"/>
    <w:rPr>
      <w:rFonts w:ascii="Palatino Linotype" w:hAnsi="Palatino Linotype"/>
      <w:noProof/>
      <w:color w:val="000000"/>
    </w:rPr>
  </w:style>
  <w:style w:type="character" w:styleId="Hipervnculovisitado">
    <w:name w:val="FollowedHyperlink"/>
    <w:rsid w:val="00FE6943"/>
    <w:rPr>
      <w:color w:val="954F72"/>
      <w:u w:val="single"/>
    </w:rPr>
  </w:style>
  <w:style w:type="paragraph" w:styleId="Textonotapie">
    <w:name w:val="footnote text"/>
    <w:basedOn w:val="Normal"/>
    <w:link w:val="TextonotapieCar"/>
    <w:semiHidden/>
    <w:unhideWhenUsed/>
    <w:rsid w:val="00FE6943"/>
    <w:pPr>
      <w:spacing w:line="240" w:lineRule="auto"/>
    </w:pPr>
  </w:style>
  <w:style w:type="character" w:customStyle="1" w:styleId="TextonotapieCar">
    <w:name w:val="Texto nota pie Car"/>
    <w:link w:val="Textonotapie"/>
    <w:semiHidden/>
    <w:rsid w:val="00FE6943"/>
    <w:rPr>
      <w:rFonts w:ascii="Palatino Linotype" w:hAnsi="Palatino Linotype"/>
      <w:noProof/>
      <w:color w:val="000000"/>
    </w:rPr>
  </w:style>
  <w:style w:type="paragraph" w:styleId="NormalWeb">
    <w:name w:val="Normal (Web)"/>
    <w:basedOn w:val="Normal"/>
    <w:uiPriority w:val="99"/>
    <w:rsid w:val="00FE6943"/>
    <w:rPr>
      <w:szCs w:val="24"/>
    </w:rPr>
  </w:style>
  <w:style w:type="paragraph" w:customStyle="1" w:styleId="MsoFootnoteText0">
    <w:name w:val="MsoFootnoteText"/>
    <w:basedOn w:val="NormalWeb"/>
    <w:qFormat/>
    <w:rsid w:val="00FE6943"/>
    <w:rPr>
      <w:rFonts w:ascii="Times New Roman" w:hAnsi="Times New Roman"/>
    </w:rPr>
  </w:style>
  <w:style w:type="character" w:styleId="Nmerodepgina">
    <w:name w:val="page number"/>
    <w:rsid w:val="00FE6943"/>
  </w:style>
  <w:style w:type="character" w:styleId="Textodelmarcadordeposicin">
    <w:name w:val="Placeholder Text"/>
    <w:uiPriority w:val="99"/>
    <w:semiHidden/>
    <w:rsid w:val="00FE6943"/>
    <w:rPr>
      <w:color w:val="808080"/>
    </w:rPr>
  </w:style>
  <w:style w:type="paragraph" w:styleId="Prrafodelista">
    <w:name w:val="List Paragraph"/>
    <w:basedOn w:val="Normal"/>
    <w:uiPriority w:val="34"/>
    <w:qFormat/>
    <w:rsid w:val="00C63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2783">
      <w:bodyDiv w:val="1"/>
      <w:marLeft w:val="0"/>
      <w:marRight w:val="0"/>
      <w:marTop w:val="0"/>
      <w:marBottom w:val="0"/>
      <w:divBdr>
        <w:top w:val="none" w:sz="0" w:space="0" w:color="auto"/>
        <w:left w:val="none" w:sz="0" w:space="0" w:color="auto"/>
        <w:bottom w:val="none" w:sz="0" w:space="0" w:color="auto"/>
        <w:right w:val="none" w:sz="0" w:space="0" w:color="auto"/>
      </w:divBdr>
    </w:div>
    <w:div w:id="335688524">
      <w:bodyDiv w:val="1"/>
      <w:marLeft w:val="0"/>
      <w:marRight w:val="0"/>
      <w:marTop w:val="0"/>
      <w:marBottom w:val="0"/>
      <w:divBdr>
        <w:top w:val="none" w:sz="0" w:space="0" w:color="auto"/>
        <w:left w:val="none" w:sz="0" w:space="0" w:color="auto"/>
        <w:bottom w:val="none" w:sz="0" w:space="0" w:color="auto"/>
        <w:right w:val="none" w:sz="0" w:space="0" w:color="auto"/>
      </w:divBdr>
    </w:div>
    <w:div w:id="593711231">
      <w:bodyDiv w:val="1"/>
      <w:marLeft w:val="0"/>
      <w:marRight w:val="0"/>
      <w:marTop w:val="0"/>
      <w:marBottom w:val="0"/>
      <w:divBdr>
        <w:top w:val="none" w:sz="0" w:space="0" w:color="auto"/>
        <w:left w:val="none" w:sz="0" w:space="0" w:color="auto"/>
        <w:bottom w:val="none" w:sz="0" w:space="0" w:color="auto"/>
        <w:right w:val="none" w:sz="0" w:space="0" w:color="auto"/>
      </w:divBdr>
    </w:div>
    <w:div w:id="768042769">
      <w:bodyDiv w:val="1"/>
      <w:marLeft w:val="0"/>
      <w:marRight w:val="0"/>
      <w:marTop w:val="0"/>
      <w:marBottom w:val="0"/>
      <w:divBdr>
        <w:top w:val="none" w:sz="0" w:space="0" w:color="auto"/>
        <w:left w:val="none" w:sz="0" w:space="0" w:color="auto"/>
        <w:bottom w:val="none" w:sz="0" w:space="0" w:color="auto"/>
        <w:right w:val="none" w:sz="0" w:space="0" w:color="auto"/>
      </w:divBdr>
    </w:div>
    <w:div w:id="811364797">
      <w:bodyDiv w:val="1"/>
      <w:marLeft w:val="0"/>
      <w:marRight w:val="0"/>
      <w:marTop w:val="0"/>
      <w:marBottom w:val="0"/>
      <w:divBdr>
        <w:top w:val="none" w:sz="0" w:space="0" w:color="auto"/>
        <w:left w:val="none" w:sz="0" w:space="0" w:color="auto"/>
        <w:bottom w:val="none" w:sz="0" w:space="0" w:color="auto"/>
        <w:right w:val="none" w:sz="0" w:space="0" w:color="auto"/>
      </w:divBdr>
    </w:div>
    <w:div w:id="899246338">
      <w:bodyDiv w:val="1"/>
      <w:marLeft w:val="0"/>
      <w:marRight w:val="0"/>
      <w:marTop w:val="0"/>
      <w:marBottom w:val="0"/>
      <w:divBdr>
        <w:top w:val="none" w:sz="0" w:space="0" w:color="auto"/>
        <w:left w:val="none" w:sz="0" w:space="0" w:color="auto"/>
        <w:bottom w:val="none" w:sz="0" w:space="0" w:color="auto"/>
        <w:right w:val="none" w:sz="0" w:space="0" w:color="auto"/>
      </w:divBdr>
    </w:div>
    <w:div w:id="902567608">
      <w:bodyDiv w:val="1"/>
      <w:marLeft w:val="0"/>
      <w:marRight w:val="0"/>
      <w:marTop w:val="0"/>
      <w:marBottom w:val="0"/>
      <w:divBdr>
        <w:top w:val="none" w:sz="0" w:space="0" w:color="auto"/>
        <w:left w:val="none" w:sz="0" w:space="0" w:color="auto"/>
        <w:bottom w:val="none" w:sz="0" w:space="0" w:color="auto"/>
        <w:right w:val="none" w:sz="0" w:space="0" w:color="auto"/>
      </w:divBdr>
    </w:div>
    <w:div w:id="974873875">
      <w:bodyDiv w:val="1"/>
      <w:marLeft w:val="0"/>
      <w:marRight w:val="0"/>
      <w:marTop w:val="0"/>
      <w:marBottom w:val="0"/>
      <w:divBdr>
        <w:top w:val="none" w:sz="0" w:space="0" w:color="auto"/>
        <w:left w:val="none" w:sz="0" w:space="0" w:color="auto"/>
        <w:bottom w:val="none" w:sz="0" w:space="0" w:color="auto"/>
        <w:right w:val="none" w:sz="0" w:space="0" w:color="auto"/>
      </w:divBdr>
    </w:div>
    <w:div w:id="1027020103">
      <w:bodyDiv w:val="1"/>
      <w:marLeft w:val="0"/>
      <w:marRight w:val="0"/>
      <w:marTop w:val="0"/>
      <w:marBottom w:val="0"/>
      <w:divBdr>
        <w:top w:val="none" w:sz="0" w:space="0" w:color="auto"/>
        <w:left w:val="none" w:sz="0" w:space="0" w:color="auto"/>
        <w:bottom w:val="none" w:sz="0" w:space="0" w:color="auto"/>
        <w:right w:val="none" w:sz="0" w:space="0" w:color="auto"/>
      </w:divBdr>
    </w:div>
    <w:div w:id="1108695690">
      <w:bodyDiv w:val="1"/>
      <w:marLeft w:val="0"/>
      <w:marRight w:val="0"/>
      <w:marTop w:val="0"/>
      <w:marBottom w:val="0"/>
      <w:divBdr>
        <w:top w:val="none" w:sz="0" w:space="0" w:color="auto"/>
        <w:left w:val="none" w:sz="0" w:space="0" w:color="auto"/>
        <w:bottom w:val="none" w:sz="0" w:space="0" w:color="auto"/>
        <w:right w:val="none" w:sz="0" w:space="0" w:color="auto"/>
      </w:divBdr>
    </w:div>
    <w:div w:id="1324428470">
      <w:bodyDiv w:val="1"/>
      <w:marLeft w:val="0"/>
      <w:marRight w:val="0"/>
      <w:marTop w:val="0"/>
      <w:marBottom w:val="0"/>
      <w:divBdr>
        <w:top w:val="none" w:sz="0" w:space="0" w:color="auto"/>
        <w:left w:val="none" w:sz="0" w:space="0" w:color="auto"/>
        <w:bottom w:val="none" w:sz="0" w:space="0" w:color="auto"/>
        <w:right w:val="none" w:sz="0" w:space="0" w:color="auto"/>
      </w:divBdr>
    </w:div>
    <w:div w:id="1550219131">
      <w:bodyDiv w:val="1"/>
      <w:marLeft w:val="0"/>
      <w:marRight w:val="0"/>
      <w:marTop w:val="0"/>
      <w:marBottom w:val="0"/>
      <w:divBdr>
        <w:top w:val="none" w:sz="0" w:space="0" w:color="auto"/>
        <w:left w:val="none" w:sz="0" w:space="0" w:color="auto"/>
        <w:bottom w:val="none" w:sz="0" w:space="0" w:color="auto"/>
        <w:right w:val="none" w:sz="0" w:space="0" w:color="auto"/>
      </w:divBdr>
    </w:div>
    <w:div w:id="1742172732">
      <w:bodyDiv w:val="1"/>
      <w:marLeft w:val="0"/>
      <w:marRight w:val="0"/>
      <w:marTop w:val="0"/>
      <w:marBottom w:val="0"/>
      <w:divBdr>
        <w:top w:val="none" w:sz="0" w:space="0" w:color="auto"/>
        <w:left w:val="none" w:sz="0" w:space="0" w:color="auto"/>
        <w:bottom w:val="none" w:sz="0" w:space="0" w:color="auto"/>
        <w:right w:val="none" w:sz="0" w:space="0" w:color="auto"/>
      </w:divBdr>
    </w:div>
    <w:div w:id="1793671436">
      <w:bodyDiv w:val="1"/>
      <w:marLeft w:val="0"/>
      <w:marRight w:val="0"/>
      <w:marTop w:val="0"/>
      <w:marBottom w:val="0"/>
      <w:divBdr>
        <w:top w:val="none" w:sz="0" w:space="0" w:color="auto"/>
        <w:left w:val="none" w:sz="0" w:space="0" w:color="auto"/>
        <w:bottom w:val="none" w:sz="0" w:space="0" w:color="auto"/>
        <w:right w:val="none" w:sz="0" w:space="0" w:color="auto"/>
      </w:divBdr>
    </w:div>
    <w:div w:id="1845047226">
      <w:bodyDiv w:val="1"/>
      <w:marLeft w:val="0"/>
      <w:marRight w:val="0"/>
      <w:marTop w:val="0"/>
      <w:marBottom w:val="0"/>
      <w:divBdr>
        <w:top w:val="none" w:sz="0" w:space="0" w:color="auto"/>
        <w:left w:val="none" w:sz="0" w:space="0" w:color="auto"/>
        <w:bottom w:val="none" w:sz="0" w:space="0" w:color="auto"/>
        <w:right w:val="none" w:sz="0" w:space="0" w:color="auto"/>
      </w:divBdr>
    </w:div>
    <w:div w:id="2094203622">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davidmayorga@gmail.com" TargetMode="Externa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footer" Target="footer2.xml" /></Relationships>
</file>

<file path=word/_rels/header3.xml.rels><?xml version="1.0" encoding="UTF-8" standalone="yes"?>
<Relationships xmlns="http://schemas.openxmlformats.org/package/2006/relationships"><Relationship Id="rId1" Type="http://schemas.openxmlformats.org/officeDocument/2006/relationships/image" Target="media/image2.png"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20Ferr&#224;s\Documents\Plantillas%20personalizadas%20de%20Office\Template.dotm"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5819F-DC46-49D0-8E8C-D0E1C93A054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Template.dotm</Template>
  <TotalTime>0</TotalTime>
  <Pages>1</Pages>
  <Words>3220</Words>
  <Characters>17715</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Joan Ferràs</dc:creator>
  <cp:keywords/>
  <dc:description/>
  <cp:lastModifiedBy>Joan Ferras Tarrago</cp:lastModifiedBy>
  <cp:revision>2</cp:revision>
  <dcterms:created xsi:type="dcterms:W3CDTF">2025-06-19T04:36:00Z</dcterms:created>
  <dcterms:modified xsi:type="dcterms:W3CDTF">2025-06-19T04:36:00Z</dcterms:modified>
</cp:coreProperties>
</file>